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D7" w:rsidRPr="007E35AC" w:rsidRDefault="008A7534" w:rsidP="001208B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A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208B7" w:rsidRPr="007E35AC">
        <w:rPr>
          <w:rFonts w:ascii="Times New Roman" w:hAnsi="Times New Roman" w:cs="Times New Roman"/>
          <w:b/>
          <w:sz w:val="28"/>
          <w:szCs w:val="28"/>
        </w:rPr>
        <w:t>OBRAZLOŽENJE</w:t>
      </w:r>
    </w:p>
    <w:p w:rsidR="008A7534" w:rsidRPr="007E35AC" w:rsidRDefault="008A7534" w:rsidP="008A75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2E2" w:rsidRPr="007E35AC" w:rsidRDefault="007530E4" w:rsidP="008A7534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A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F471E7" w:rsidRPr="007E35AC">
        <w:rPr>
          <w:rFonts w:ascii="Times New Roman" w:hAnsi="Times New Roman" w:cs="Times New Roman"/>
          <w:b/>
          <w:sz w:val="28"/>
          <w:szCs w:val="28"/>
        </w:rPr>
        <w:t xml:space="preserve">OBRAZLOŽENJE OPĆEG DIJELA </w:t>
      </w:r>
    </w:p>
    <w:p w:rsidR="005D253B" w:rsidRDefault="005D253B" w:rsidP="000A3421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93B" w:rsidRPr="00F61C84" w:rsidRDefault="005D253B" w:rsidP="00241E61">
      <w:pPr>
        <w:spacing w:before="12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</w:t>
      </w:r>
    </w:p>
    <w:p w:rsidR="00012DE9" w:rsidRDefault="007D4DD7" w:rsidP="00012DE9">
      <w:pPr>
        <w:spacing w:before="120" w:after="0"/>
        <w:ind w:left="-142" w:right="9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Klinički bolnički centar Sestre milosrdnice je zdravstvena ustanova u vlasništvu Republike Hrvatske koja obavlja djelatnost stacionarne zdravstvene zaštite i specijalističko-konzilijarne zdravstvene zaštite (ordinacije, dijagnostičke jedinice, dnevne bolnice i jednodnevne kirurgije, hemodijaliza), te znanstveno nastavnu djelatnost, klinička istraživanja i medicinska vještačenja. U obavljanju poslova sudjeluje još i bolnička ljekarna, odjel medicinske fizike i nemedicinske djelatnosti.</w:t>
      </w:r>
    </w:p>
    <w:p w:rsidR="00012DE9" w:rsidRDefault="00012DE9" w:rsidP="00012DE9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DE9">
        <w:rPr>
          <w:rFonts w:ascii="Times New Roman" w:hAnsi="Times New Roman" w:cs="Times New Roman"/>
          <w:sz w:val="24"/>
          <w:szCs w:val="24"/>
        </w:rPr>
        <w:t>Ustanova je paviljonskog tipa i djeluje na tri lokacije. Rješenjem Ministarstva zdravstva Republike Hrvatske priznato je 28 referentnih centara u kojima se obavljaju najsloženiji oblici zdravstvene zaštite. Upravo iz tog razloga, osim bolesnika iz pripadajućih gradskih četvrti, u Klinički bolnički centar dolaze i pacijenti ne samo iz drugih županija naše Republike, već i iz okolnih regija (oko 25 % pacijenata odnosi se na područja koja pripadaju drugim zdravstvenim ustanovama).</w:t>
      </w:r>
    </w:p>
    <w:p w:rsidR="00E011E8" w:rsidRDefault="007D4DD7" w:rsidP="00B55530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S Hrvatskim zavodom za zdravstveno osiguranje Klinički bolnički centar ima ugovoreno </w:t>
      </w:r>
      <w:r w:rsidRPr="002B1958">
        <w:rPr>
          <w:rFonts w:ascii="Times New Roman" w:hAnsi="Times New Roman" w:cs="Times New Roman"/>
          <w:sz w:val="24"/>
          <w:szCs w:val="24"/>
        </w:rPr>
        <w:t>1.149 postelja za</w:t>
      </w:r>
      <w:r w:rsidRPr="00241E61">
        <w:rPr>
          <w:rFonts w:ascii="Times New Roman" w:hAnsi="Times New Roman" w:cs="Times New Roman"/>
          <w:sz w:val="24"/>
          <w:szCs w:val="24"/>
        </w:rPr>
        <w:t xml:space="preserve"> liječenje bolesnika od akutnih bolesti i za produženo liječenje, </w:t>
      </w:r>
      <w:r w:rsidR="00D66988">
        <w:rPr>
          <w:rFonts w:ascii="Times New Roman" w:hAnsi="Times New Roman" w:cs="Times New Roman"/>
          <w:sz w:val="24"/>
          <w:szCs w:val="24"/>
        </w:rPr>
        <w:t xml:space="preserve">te </w:t>
      </w:r>
      <w:r w:rsidRPr="00241E61">
        <w:rPr>
          <w:rFonts w:ascii="Times New Roman" w:hAnsi="Times New Roman" w:cs="Times New Roman"/>
          <w:sz w:val="24"/>
          <w:szCs w:val="24"/>
        </w:rPr>
        <w:t>236 mjesta u dnevnim bolnicama</w:t>
      </w:r>
      <w:r w:rsidR="00D66988">
        <w:rPr>
          <w:rFonts w:ascii="Times New Roman" w:hAnsi="Times New Roman" w:cs="Times New Roman"/>
          <w:sz w:val="24"/>
          <w:szCs w:val="24"/>
        </w:rPr>
        <w:t>.</w:t>
      </w:r>
      <w:r w:rsidR="00E011E8">
        <w:rPr>
          <w:rFonts w:ascii="Times New Roman" w:hAnsi="Times New Roman" w:cs="Times New Roman"/>
          <w:sz w:val="24"/>
          <w:szCs w:val="24"/>
        </w:rPr>
        <w:t xml:space="preserve"> </w:t>
      </w:r>
      <w:r w:rsidR="00D66988">
        <w:rPr>
          <w:rFonts w:ascii="Times New Roman" w:hAnsi="Times New Roman" w:cs="Times New Roman"/>
          <w:sz w:val="24"/>
          <w:szCs w:val="24"/>
        </w:rPr>
        <w:t>T</w:t>
      </w:r>
      <w:r w:rsidR="002B1958">
        <w:rPr>
          <w:rFonts w:ascii="Times New Roman" w:hAnsi="Times New Roman" w:cs="Times New Roman"/>
          <w:sz w:val="24"/>
          <w:szCs w:val="24"/>
        </w:rPr>
        <w:t>ijekom 2025</w:t>
      </w:r>
      <w:r w:rsidR="00E011E8">
        <w:rPr>
          <w:rFonts w:ascii="Times New Roman" w:hAnsi="Times New Roman" w:cs="Times New Roman"/>
          <w:sz w:val="24"/>
          <w:szCs w:val="24"/>
        </w:rPr>
        <w:t xml:space="preserve">. godine radi sanacije zgrada oštećenih potresom 2020. godine, liječenje bolesnika odvijalo se na prosječno </w:t>
      </w:r>
      <w:r w:rsidR="002B1958">
        <w:rPr>
          <w:rFonts w:ascii="Times New Roman" w:hAnsi="Times New Roman" w:cs="Times New Roman"/>
          <w:sz w:val="24"/>
          <w:szCs w:val="24"/>
        </w:rPr>
        <w:t>981</w:t>
      </w:r>
      <w:r w:rsidR="00DD39BB">
        <w:rPr>
          <w:rFonts w:ascii="Times New Roman" w:hAnsi="Times New Roman" w:cs="Times New Roman"/>
          <w:sz w:val="24"/>
          <w:szCs w:val="24"/>
        </w:rPr>
        <w:t xml:space="preserve"> postelji</w:t>
      </w:r>
      <w:r w:rsidR="00E011E8">
        <w:rPr>
          <w:rFonts w:ascii="Times New Roman" w:hAnsi="Times New Roman" w:cs="Times New Roman"/>
          <w:sz w:val="24"/>
          <w:szCs w:val="24"/>
        </w:rPr>
        <w:t xml:space="preserve"> i </w:t>
      </w:r>
      <w:r w:rsidR="009E241E" w:rsidRPr="009E241E">
        <w:rPr>
          <w:rFonts w:ascii="Times New Roman" w:hAnsi="Times New Roman" w:cs="Times New Roman"/>
          <w:sz w:val="24"/>
          <w:szCs w:val="24"/>
        </w:rPr>
        <w:t>256</w:t>
      </w:r>
      <w:r w:rsidR="00E011E8" w:rsidRPr="009E241E">
        <w:rPr>
          <w:rFonts w:ascii="Times New Roman" w:hAnsi="Times New Roman" w:cs="Times New Roman"/>
          <w:sz w:val="24"/>
          <w:szCs w:val="24"/>
        </w:rPr>
        <w:t xml:space="preserve"> mjesta u </w:t>
      </w:r>
      <w:r w:rsidR="00E011E8">
        <w:rPr>
          <w:rFonts w:ascii="Times New Roman" w:hAnsi="Times New Roman" w:cs="Times New Roman"/>
          <w:sz w:val="24"/>
          <w:szCs w:val="24"/>
        </w:rPr>
        <w:t xml:space="preserve">dnevnim bolnicama. Također, Ustanova ima 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ugovoreno </w:t>
      </w:r>
      <w:r w:rsidR="00E011E8">
        <w:rPr>
          <w:rFonts w:ascii="Times New Roman" w:hAnsi="Times New Roman" w:cs="Times New Roman"/>
          <w:sz w:val="24"/>
          <w:szCs w:val="24"/>
        </w:rPr>
        <w:t>više od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</w:t>
      </w:r>
      <w:r w:rsidR="006A4541">
        <w:rPr>
          <w:rFonts w:ascii="Times New Roman" w:hAnsi="Times New Roman" w:cs="Times New Roman"/>
          <w:sz w:val="24"/>
          <w:szCs w:val="24"/>
        </w:rPr>
        <w:t>5</w:t>
      </w:r>
      <w:r w:rsidR="009E241E">
        <w:rPr>
          <w:rFonts w:ascii="Times New Roman" w:hAnsi="Times New Roman" w:cs="Times New Roman"/>
          <w:sz w:val="24"/>
          <w:szCs w:val="24"/>
        </w:rPr>
        <w:t>5</w:t>
      </w:r>
      <w:r w:rsidR="006A4541">
        <w:rPr>
          <w:rFonts w:ascii="Times New Roman" w:hAnsi="Times New Roman" w:cs="Times New Roman"/>
          <w:sz w:val="24"/>
          <w:szCs w:val="24"/>
        </w:rPr>
        <w:t>0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ambulanti i dijagnostičkih jedinica, a u Ustanovi </w:t>
      </w:r>
      <w:r w:rsidR="00BA0BE5">
        <w:rPr>
          <w:rFonts w:ascii="Times New Roman" w:hAnsi="Times New Roman" w:cs="Times New Roman"/>
          <w:sz w:val="24"/>
          <w:szCs w:val="24"/>
        </w:rPr>
        <w:t>je na dan 31</w:t>
      </w:r>
      <w:r w:rsidR="00E011E8">
        <w:rPr>
          <w:rFonts w:ascii="Times New Roman" w:hAnsi="Times New Roman" w:cs="Times New Roman"/>
          <w:sz w:val="24"/>
          <w:szCs w:val="24"/>
        </w:rPr>
        <w:t>.</w:t>
      </w:r>
      <w:r w:rsidR="005C2B9C">
        <w:rPr>
          <w:rFonts w:ascii="Times New Roman" w:hAnsi="Times New Roman" w:cs="Times New Roman"/>
          <w:sz w:val="24"/>
          <w:szCs w:val="24"/>
        </w:rPr>
        <w:t xml:space="preserve"> prosinca</w:t>
      </w:r>
      <w:r w:rsidR="00E011E8">
        <w:rPr>
          <w:rFonts w:ascii="Times New Roman" w:hAnsi="Times New Roman" w:cs="Times New Roman"/>
          <w:sz w:val="24"/>
          <w:szCs w:val="24"/>
        </w:rPr>
        <w:t xml:space="preserve"> 202</w:t>
      </w:r>
      <w:r w:rsidR="002B1958">
        <w:rPr>
          <w:rFonts w:ascii="Times New Roman" w:hAnsi="Times New Roman" w:cs="Times New Roman"/>
          <w:sz w:val="24"/>
          <w:szCs w:val="24"/>
        </w:rPr>
        <w:t>5</w:t>
      </w:r>
      <w:r w:rsidR="00E011E8">
        <w:rPr>
          <w:rFonts w:ascii="Times New Roman" w:hAnsi="Times New Roman" w:cs="Times New Roman"/>
          <w:sz w:val="24"/>
          <w:szCs w:val="24"/>
        </w:rPr>
        <w:t>. godine bilo stalno zaposleno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</w:t>
      </w:r>
      <w:r w:rsidR="002B1958">
        <w:rPr>
          <w:rFonts w:ascii="Times New Roman" w:hAnsi="Times New Roman" w:cs="Times New Roman"/>
          <w:sz w:val="24"/>
          <w:szCs w:val="24"/>
        </w:rPr>
        <w:t>4.088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</w:t>
      </w:r>
      <w:r w:rsidR="00E011E8">
        <w:rPr>
          <w:rFonts w:ascii="Times New Roman" w:hAnsi="Times New Roman" w:cs="Times New Roman"/>
          <w:sz w:val="24"/>
          <w:szCs w:val="24"/>
        </w:rPr>
        <w:t>djelatnika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DD7" w:rsidRPr="00241E61" w:rsidRDefault="007D4DD7" w:rsidP="00B55530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Djelovanje KBC-a je usmjereno prvenstveno na pružanje visoke razine zdravstvene zaštite bolesnicima, te poboljšanje uvjeta funkcioniranja razvojem pojedinih djelatnosti putem projekata financiranih od strane Europske unije.</w:t>
      </w:r>
    </w:p>
    <w:p w:rsidR="00B55530" w:rsidRDefault="001B7AA2" w:rsidP="003717AB">
      <w:pPr>
        <w:spacing w:before="6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D43">
        <w:rPr>
          <w:rFonts w:ascii="Times New Roman" w:hAnsi="Times New Roman" w:cs="Times New Roman"/>
          <w:sz w:val="24"/>
          <w:szCs w:val="24"/>
        </w:rPr>
        <w:t>Ukupno</w:t>
      </w:r>
      <w:r w:rsidR="000A6569" w:rsidRPr="00865D43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6E23A5" w:rsidRPr="00865D43">
        <w:rPr>
          <w:rFonts w:ascii="Times New Roman" w:hAnsi="Times New Roman" w:cs="Times New Roman"/>
          <w:sz w:val="24"/>
          <w:szCs w:val="24"/>
        </w:rPr>
        <w:t xml:space="preserve">prihodi </w:t>
      </w:r>
      <w:r w:rsidR="00B02CA8">
        <w:rPr>
          <w:rFonts w:ascii="Times New Roman" w:hAnsi="Times New Roman" w:cs="Times New Roman"/>
          <w:sz w:val="24"/>
          <w:szCs w:val="24"/>
        </w:rPr>
        <w:t>u tekućem planu za 202</w:t>
      </w:r>
      <w:r w:rsidR="00F65F10">
        <w:rPr>
          <w:rFonts w:ascii="Times New Roman" w:hAnsi="Times New Roman" w:cs="Times New Roman"/>
          <w:sz w:val="24"/>
          <w:szCs w:val="24"/>
        </w:rPr>
        <w:t>5</w:t>
      </w:r>
      <w:r w:rsidR="00B02CA8">
        <w:rPr>
          <w:rFonts w:ascii="Times New Roman" w:hAnsi="Times New Roman" w:cs="Times New Roman"/>
          <w:sz w:val="24"/>
          <w:szCs w:val="24"/>
        </w:rPr>
        <w:t xml:space="preserve">. godinu </w:t>
      </w:r>
      <w:r w:rsidR="000A6569" w:rsidRPr="00865D43">
        <w:rPr>
          <w:rFonts w:ascii="Times New Roman" w:hAnsi="Times New Roman" w:cs="Times New Roman"/>
          <w:sz w:val="24"/>
          <w:szCs w:val="24"/>
        </w:rPr>
        <w:t>iznos</w:t>
      </w:r>
      <w:r w:rsidR="006E23A5" w:rsidRPr="00865D43">
        <w:rPr>
          <w:rFonts w:ascii="Times New Roman" w:hAnsi="Times New Roman" w:cs="Times New Roman"/>
          <w:sz w:val="24"/>
          <w:szCs w:val="24"/>
        </w:rPr>
        <w:t xml:space="preserve">e </w:t>
      </w:r>
      <w:r w:rsidR="00143D23">
        <w:rPr>
          <w:rFonts w:ascii="Times New Roman" w:hAnsi="Times New Roman" w:cs="Times New Roman"/>
          <w:sz w:val="24"/>
          <w:szCs w:val="24"/>
        </w:rPr>
        <w:t>356.165.819</w:t>
      </w:r>
      <w:r w:rsidR="00EF02FB" w:rsidRPr="00865D43">
        <w:rPr>
          <w:rFonts w:ascii="Times New Roman" w:hAnsi="Times New Roman" w:cs="Times New Roman"/>
          <w:sz w:val="24"/>
          <w:szCs w:val="24"/>
        </w:rPr>
        <w:t xml:space="preserve"> </w:t>
      </w:r>
      <w:r w:rsidR="002A5629" w:rsidRPr="00865D43">
        <w:rPr>
          <w:rFonts w:ascii="Times New Roman" w:hAnsi="Times New Roman" w:cs="Times New Roman"/>
          <w:sz w:val="24"/>
          <w:szCs w:val="24"/>
        </w:rPr>
        <w:t>eura</w:t>
      </w:r>
      <w:r w:rsidR="006E23A5" w:rsidRPr="00865D43">
        <w:rPr>
          <w:rFonts w:ascii="Times New Roman" w:hAnsi="Times New Roman" w:cs="Times New Roman"/>
          <w:sz w:val="24"/>
          <w:szCs w:val="24"/>
        </w:rPr>
        <w:t xml:space="preserve">, dok su </w:t>
      </w:r>
      <w:r w:rsidR="006E23A5" w:rsidRPr="00241E61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0A6569" w:rsidRPr="00241E61">
        <w:rPr>
          <w:rFonts w:ascii="Times New Roman" w:hAnsi="Times New Roman" w:cs="Times New Roman"/>
          <w:sz w:val="24"/>
          <w:szCs w:val="24"/>
        </w:rPr>
        <w:t xml:space="preserve">planirani u 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iznosu od </w:t>
      </w:r>
      <w:r w:rsidR="00143D23">
        <w:rPr>
          <w:rFonts w:ascii="Times New Roman" w:hAnsi="Times New Roman" w:cs="Times New Roman"/>
          <w:sz w:val="24"/>
          <w:szCs w:val="24"/>
        </w:rPr>
        <w:t>356.218.804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2A5629" w:rsidRPr="00241E61">
        <w:rPr>
          <w:rFonts w:ascii="Times New Roman" w:hAnsi="Times New Roman" w:cs="Times New Roman"/>
          <w:sz w:val="24"/>
          <w:szCs w:val="24"/>
        </w:rPr>
        <w:t>eura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. </w:t>
      </w:r>
      <w:r w:rsidR="006E23A5" w:rsidRPr="00241E61">
        <w:rPr>
          <w:rFonts w:ascii="Times New Roman" w:hAnsi="Times New Roman" w:cs="Times New Roman"/>
          <w:sz w:val="24"/>
          <w:szCs w:val="24"/>
        </w:rPr>
        <w:t>Razlika je nivelirana prijenosom sredstava iz prethodne godine i prijenosom sredstava u slijedeću godinu koji se ne iskazuju kao prihodi i rashod</w:t>
      </w:r>
      <w:r w:rsidR="0018129B" w:rsidRPr="00241E61">
        <w:rPr>
          <w:rFonts w:ascii="Times New Roman" w:hAnsi="Times New Roman" w:cs="Times New Roman"/>
          <w:sz w:val="24"/>
          <w:szCs w:val="24"/>
        </w:rPr>
        <w:t>i</w:t>
      </w:r>
      <w:r w:rsidR="008C390C"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4859CC" w:rsidRPr="00241E61">
        <w:rPr>
          <w:rFonts w:ascii="Times New Roman" w:hAnsi="Times New Roman" w:cs="Times New Roman"/>
          <w:sz w:val="24"/>
          <w:szCs w:val="24"/>
        </w:rPr>
        <w:t>(naveli</w:t>
      </w:r>
      <w:r w:rsidR="008C390C" w:rsidRPr="00241E61">
        <w:rPr>
          <w:rFonts w:ascii="Times New Roman" w:hAnsi="Times New Roman" w:cs="Times New Roman"/>
          <w:sz w:val="24"/>
          <w:szCs w:val="24"/>
        </w:rPr>
        <w:t xml:space="preserve"> smo ih ispod tablice prihoda i </w:t>
      </w:r>
      <w:r w:rsidR="004859CC" w:rsidRPr="00241E61">
        <w:rPr>
          <w:rFonts w:ascii="Times New Roman" w:hAnsi="Times New Roman" w:cs="Times New Roman"/>
          <w:sz w:val="24"/>
          <w:szCs w:val="24"/>
        </w:rPr>
        <w:t xml:space="preserve">tablice </w:t>
      </w:r>
      <w:r w:rsidR="008C390C" w:rsidRPr="00241E61">
        <w:rPr>
          <w:rFonts w:ascii="Times New Roman" w:hAnsi="Times New Roman" w:cs="Times New Roman"/>
          <w:sz w:val="24"/>
          <w:szCs w:val="24"/>
        </w:rPr>
        <w:t>rashoda po izvorima financiranja)</w:t>
      </w:r>
      <w:r w:rsidR="006E23A5" w:rsidRPr="00241E61">
        <w:rPr>
          <w:rFonts w:ascii="Times New Roman" w:hAnsi="Times New Roman" w:cs="Times New Roman"/>
          <w:sz w:val="24"/>
          <w:szCs w:val="24"/>
        </w:rPr>
        <w:t xml:space="preserve">, 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već su prikazani u </w:t>
      </w:r>
      <w:r w:rsidR="009E241E">
        <w:rPr>
          <w:rFonts w:ascii="Times New Roman" w:hAnsi="Times New Roman" w:cs="Times New Roman"/>
          <w:sz w:val="24"/>
          <w:szCs w:val="24"/>
        </w:rPr>
        <w:t>s</w:t>
      </w:r>
      <w:r w:rsidR="0048243A" w:rsidRPr="00241E61">
        <w:rPr>
          <w:rFonts w:ascii="Times New Roman" w:hAnsi="Times New Roman" w:cs="Times New Roman"/>
          <w:sz w:val="24"/>
          <w:szCs w:val="24"/>
        </w:rPr>
        <w:t>ažetku Računa financiranja i</w:t>
      </w:r>
      <w:r w:rsidR="006E23A5" w:rsidRPr="00241E61">
        <w:rPr>
          <w:rFonts w:ascii="Times New Roman" w:hAnsi="Times New Roman" w:cs="Times New Roman"/>
          <w:sz w:val="24"/>
          <w:szCs w:val="24"/>
        </w:rPr>
        <w:t xml:space="preserve"> u</w:t>
      </w:r>
      <w:r w:rsidR="00C530E0" w:rsidRPr="00241E61">
        <w:rPr>
          <w:rFonts w:ascii="Times New Roman" w:hAnsi="Times New Roman" w:cs="Times New Roman"/>
          <w:sz w:val="24"/>
          <w:szCs w:val="24"/>
        </w:rPr>
        <w:t>ravnotežu</w:t>
      </w:r>
      <w:r w:rsidR="006E23A5" w:rsidRPr="00241E61">
        <w:rPr>
          <w:rFonts w:ascii="Times New Roman" w:hAnsi="Times New Roman" w:cs="Times New Roman"/>
          <w:sz w:val="24"/>
          <w:szCs w:val="24"/>
        </w:rPr>
        <w:t>ju</w:t>
      </w:r>
      <w:r w:rsidR="0018129B" w:rsidRPr="00241E61">
        <w:rPr>
          <w:rFonts w:ascii="Times New Roman" w:hAnsi="Times New Roman" w:cs="Times New Roman"/>
          <w:sz w:val="24"/>
          <w:szCs w:val="24"/>
        </w:rPr>
        <w:t xml:space="preserve"> financijski plan </w:t>
      </w:r>
      <w:r w:rsidR="002A5629" w:rsidRPr="00241E61">
        <w:rPr>
          <w:rFonts w:ascii="Times New Roman" w:hAnsi="Times New Roman" w:cs="Times New Roman"/>
          <w:sz w:val="24"/>
          <w:szCs w:val="24"/>
        </w:rPr>
        <w:t xml:space="preserve">na način da je razlika između planiranih prihoda i rashoda svedena </w:t>
      </w:r>
      <w:r w:rsidR="0018129B" w:rsidRPr="00241E61">
        <w:rPr>
          <w:rFonts w:ascii="Times New Roman" w:hAnsi="Times New Roman" w:cs="Times New Roman"/>
          <w:sz w:val="24"/>
          <w:szCs w:val="24"/>
        </w:rPr>
        <w:t>na 0</w:t>
      </w:r>
      <w:r w:rsidR="002A5629" w:rsidRPr="00241E61">
        <w:rPr>
          <w:rFonts w:ascii="Times New Roman" w:hAnsi="Times New Roman" w:cs="Times New Roman"/>
          <w:sz w:val="24"/>
          <w:szCs w:val="24"/>
        </w:rPr>
        <w:t xml:space="preserve"> eura</w:t>
      </w:r>
      <w:r w:rsidR="000A6569" w:rsidRPr="00241E61">
        <w:rPr>
          <w:rFonts w:ascii="Times New Roman" w:hAnsi="Times New Roman" w:cs="Times New Roman"/>
          <w:sz w:val="24"/>
          <w:szCs w:val="24"/>
        </w:rPr>
        <w:t>.</w:t>
      </w:r>
    </w:p>
    <w:p w:rsidR="00F54D97" w:rsidRDefault="00F54D97" w:rsidP="003717AB">
      <w:pPr>
        <w:spacing w:before="6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7AD8" w:rsidRDefault="007D4DD7" w:rsidP="009B6E5E">
      <w:pPr>
        <w:spacing w:before="120" w:after="0"/>
        <w:ind w:right="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E5E">
        <w:rPr>
          <w:rFonts w:ascii="Times New Roman" w:hAnsi="Times New Roman" w:cs="Times New Roman"/>
          <w:b/>
          <w:sz w:val="24"/>
          <w:szCs w:val="24"/>
        </w:rPr>
        <w:t xml:space="preserve">3.1.1. OBRAZLOŽENJE OSTVARENJA PRIHODA </w:t>
      </w:r>
      <w:r w:rsidR="009B6E5E" w:rsidRPr="009B6E5E">
        <w:rPr>
          <w:rFonts w:ascii="Times New Roman" w:hAnsi="Times New Roman" w:cs="Times New Roman"/>
          <w:b/>
          <w:sz w:val="24"/>
          <w:szCs w:val="24"/>
        </w:rPr>
        <w:t xml:space="preserve">I PRIMITAKA, RASHODA I </w:t>
      </w:r>
    </w:p>
    <w:p w:rsidR="00650B5D" w:rsidRDefault="00A27AD8" w:rsidP="00A27AD8">
      <w:pPr>
        <w:spacing w:after="0"/>
        <w:ind w:right="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B6E5E" w:rsidRPr="009B6E5E">
        <w:rPr>
          <w:rFonts w:ascii="Times New Roman" w:hAnsi="Times New Roman" w:cs="Times New Roman"/>
          <w:b/>
          <w:sz w:val="24"/>
          <w:szCs w:val="24"/>
        </w:rPr>
        <w:t>IZDATAKA</w:t>
      </w:r>
    </w:p>
    <w:p w:rsidR="00A27AD8" w:rsidRDefault="00A27AD8" w:rsidP="00A27AD8">
      <w:pPr>
        <w:spacing w:after="0"/>
        <w:ind w:right="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241E61" w:rsidRDefault="00F471E7" w:rsidP="00A27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AC24AF" w:rsidRDefault="00495973" w:rsidP="00241E61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DC30B1">
        <w:rPr>
          <w:rFonts w:ascii="Times New Roman" w:hAnsi="Times New Roman" w:cs="Times New Roman"/>
          <w:sz w:val="24"/>
          <w:szCs w:val="24"/>
        </w:rPr>
        <w:t>za 202</w:t>
      </w:r>
      <w:r w:rsidR="00143D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D11FCC">
        <w:rPr>
          <w:rFonts w:ascii="Times New Roman" w:hAnsi="Times New Roman" w:cs="Times New Roman"/>
          <w:sz w:val="24"/>
          <w:szCs w:val="24"/>
        </w:rPr>
        <w:t>u tekućem planu iznose</w:t>
      </w:r>
      <w:r w:rsidR="00947D4F">
        <w:rPr>
          <w:rFonts w:ascii="Times New Roman" w:hAnsi="Times New Roman" w:cs="Times New Roman"/>
          <w:sz w:val="24"/>
          <w:szCs w:val="24"/>
        </w:rPr>
        <w:t xml:space="preserve"> </w:t>
      </w:r>
      <w:r w:rsidR="00D11FCC">
        <w:rPr>
          <w:rFonts w:ascii="Times New Roman" w:hAnsi="Times New Roman" w:cs="Times New Roman"/>
          <w:sz w:val="24"/>
          <w:szCs w:val="24"/>
        </w:rPr>
        <w:t>356.165.819</w:t>
      </w:r>
      <w:r w:rsidR="00947D4F">
        <w:rPr>
          <w:rFonts w:ascii="Times New Roman" w:hAnsi="Times New Roman" w:cs="Times New Roman"/>
          <w:sz w:val="24"/>
          <w:szCs w:val="24"/>
        </w:rPr>
        <w:t xml:space="preserve"> eura</w:t>
      </w:r>
      <w:r w:rsidR="00D11FCC">
        <w:rPr>
          <w:rFonts w:ascii="Times New Roman" w:hAnsi="Times New Roman" w:cs="Times New Roman"/>
          <w:sz w:val="24"/>
          <w:szCs w:val="24"/>
        </w:rPr>
        <w:t xml:space="preserve">, </w:t>
      </w:r>
      <w:r w:rsidR="0009683B">
        <w:rPr>
          <w:rFonts w:ascii="Times New Roman" w:hAnsi="Times New Roman" w:cs="Times New Roman"/>
          <w:sz w:val="24"/>
          <w:szCs w:val="24"/>
        </w:rPr>
        <w:t xml:space="preserve">a </w:t>
      </w:r>
      <w:r w:rsidR="00B81DE6">
        <w:rPr>
          <w:rFonts w:ascii="Times New Roman" w:hAnsi="Times New Roman" w:cs="Times New Roman"/>
          <w:sz w:val="24"/>
          <w:szCs w:val="24"/>
        </w:rPr>
        <w:t>ostvare</w:t>
      </w:r>
      <w:r w:rsidR="00947D4F">
        <w:rPr>
          <w:rFonts w:ascii="Times New Roman" w:hAnsi="Times New Roman" w:cs="Times New Roman"/>
          <w:sz w:val="24"/>
          <w:szCs w:val="24"/>
        </w:rPr>
        <w:t>n</w:t>
      </w:r>
      <w:r w:rsidR="00AC24AF">
        <w:rPr>
          <w:rFonts w:ascii="Times New Roman" w:hAnsi="Times New Roman" w:cs="Times New Roman"/>
          <w:sz w:val="24"/>
          <w:szCs w:val="24"/>
        </w:rPr>
        <w:t>i</w:t>
      </w:r>
      <w:r w:rsidR="00947D4F">
        <w:rPr>
          <w:rFonts w:ascii="Times New Roman" w:hAnsi="Times New Roman" w:cs="Times New Roman"/>
          <w:sz w:val="24"/>
          <w:szCs w:val="24"/>
        </w:rPr>
        <w:t xml:space="preserve"> </w:t>
      </w:r>
      <w:r w:rsidR="00AC24AF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D11FCC">
        <w:rPr>
          <w:rFonts w:ascii="Times New Roman" w:hAnsi="Times New Roman" w:cs="Times New Roman"/>
          <w:sz w:val="24"/>
          <w:szCs w:val="24"/>
        </w:rPr>
        <w:t>360.425.418,44</w:t>
      </w:r>
      <w:r w:rsidR="0009683B">
        <w:rPr>
          <w:rFonts w:ascii="Times New Roman" w:hAnsi="Times New Roman" w:cs="Times New Roman"/>
          <w:sz w:val="24"/>
          <w:szCs w:val="24"/>
        </w:rPr>
        <w:t xml:space="preserve"> eura ili </w:t>
      </w:r>
      <w:r w:rsidR="00D11FCC">
        <w:rPr>
          <w:rFonts w:ascii="Times New Roman" w:hAnsi="Times New Roman" w:cs="Times New Roman"/>
          <w:sz w:val="24"/>
          <w:szCs w:val="24"/>
        </w:rPr>
        <w:t>1,20</w:t>
      </w:r>
      <w:r w:rsidR="0009683B">
        <w:rPr>
          <w:rFonts w:ascii="Times New Roman" w:hAnsi="Times New Roman" w:cs="Times New Roman"/>
          <w:sz w:val="24"/>
          <w:szCs w:val="24"/>
        </w:rPr>
        <w:t xml:space="preserve"> %</w:t>
      </w:r>
      <w:r w:rsidR="00D11FCC">
        <w:rPr>
          <w:rFonts w:ascii="Times New Roman" w:hAnsi="Times New Roman" w:cs="Times New Roman"/>
          <w:sz w:val="24"/>
          <w:szCs w:val="24"/>
        </w:rPr>
        <w:t xml:space="preserve"> više</w:t>
      </w:r>
      <w:r w:rsidR="00AC24AF">
        <w:rPr>
          <w:rFonts w:ascii="Times New Roman" w:hAnsi="Times New Roman" w:cs="Times New Roman"/>
          <w:sz w:val="24"/>
          <w:szCs w:val="24"/>
        </w:rPr>
        <w:t>.</w:t>
      </w:r>
    </w:p>
    <w:p w:rsidR="00947D4F" w:rsidRDefault="00AC24AF" w:rsidP="00D11FC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Navodimo pregled</w:t>
      </w:r>
      <w:r w:rsidR="00096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C64D50">
        <w:rPr>
          <w:rFonts w:ascii="Times New Roman" w:hAnsi="Times New Roman" w:cs="Times New Roman"/>
          <w:sz w:val="24"/>
          <w:szCs w:val="24"/>
        </w:rPr>
        <w:t xml:space="preserve"> skupinama prihoda:</w:t>
      </w:r>
    </w:p>
    <w:p w:rsidR="00D11FCC" w:rsidRDefault="00D11FCC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42C" w:rsidRDefault="00DC47CB" w:rsidP="00D11FC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447FF">
        <w:rPr>
          <w:rFonts w:ascii="Times New Roman" w:hAnsi="Times New Roman" w:cs="Times New Roman"/>
          <w:sz w:val="24"/>
          <w:szCs w:val="24"/>
        </w:rPr>
        <w:t xml:space="preserve"> </w:t>
      </w:r>
      <w:r w:rsidR="00AE7565">
        <w:rPr>
          <w:rFonts w:ascii="Times New Roman" w:hAnsi="Times New Roman" w:cs="Times New Roman"/>
          <w:sz w:val="24"/>
          <w:szCs w:val="24"/>
        </w:rPr>
        <w:t>N</w:t>
      </w:r>
      <w:r w:rsidR="00947D4F">
        <w:rPr>
          <w:rFonts w:ascii="Times New Roman" w:hAnsi="Times New Roman" w:cs="Times New Roman"/>
          <w:sz w:val="24"/>
          <w:szCs w:val="24"/>
        </w:rPr>
        <w:t xml:space="preserve">a </w:t>
      </w:r>
      <w:r w:rsidR="003050B0" w:rsidRPr="00241E61">
        <w:rPr>
          <w:rFonts w:ascii="Times New Roman" w:hAnsi="Times New Roman" w:cs="Times New Roman"/>
          <w:b/>
          <w:sz w:val="24"/>
          <w:szCs w:val="24"/>
        </w:rPr>
        <w:t>skupin</w:t>
      </w:r>
      <w:r w:rsidR="00947D4F">
        <w:rPr>
          <w:rFonts w:ascii="Times New Roman" w:hAnsi="Times New Roman" w:cs="Times New Roman"/>
          <w:b/>
          <w:sz w:val="24"/>
          <w:szCs w:val="24"/>
        </w:rPr>
        <w:t>i</w:t>
      </w:r>
      <w:r w:rsidR="003050B0" w:rsidRPr="00241E61">
        <w:rPr>
          <w:rFonts w:ascii="Times New Roman" w:hAnsi="Times New Roman" w:cs="Times New Roman"/>
          <w:b/>
          <w:sz w:val="24"/>
          <w:szCs w:val="24"/>
        </w:rPr>
        <w:t xml:space="preserve"> prihoda 6</w:t>
      </w:r>
      <w:r w:rsidR="00947D4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9683B" w:rsidRPr="0009683B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 w:rsidR="00096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FCC" w:rsidRPr="00D11FCC">
        <w:rPr>
          <w:rFonts w:ascii="Times New Roman" w:hAnsi="Times New Roman" w:cs="Times New Roman"/>
          <w:sz w:val="24"/>
          <w:szCs w:val="24"/>
        </w:rPr>
        <w:t>tekući plan iznosi 677.080 eura</w:t>
      </w:r>
      <w:r w:rsidR="00D11FCC">
        <w:rPr>
          <w:rFonts w:ascii="Times New Roman" w:hAnsi="Times New Roman" w:cs="Times New Roman"/>
          <w:sz w:val="24"/>
          <w:szCs w:val="24"/>
        </w:rPr>
        <w:t>,</w:t>
      </w:r>
      <w:r w:rsidR="00D11FCC" w:rsidRPr="00D11FCC">
        <w:rPr>
          <w:rFonts w:ascii="Times New Roman" w:hAnsi="Times New Roman" w:cs="Times New Roman"/>
          <w:sz w:val="24"/>
          <w:szCs w:val="24"/>
        </w:rPr>
        <w:t xml:space="preserve"> </w:t>
      </w:r>
      <w:r w:rsidR="00D11FCC">
        <w:rPr>
          <w:rFonts w:ascii="Times New Roman" w:hAnsi="Times New Roman" w:cs="Times New Roman"/>
          <w:sz w:val="24"/>
          <w:szCs w:val="24"/>
        </w:rPr>
        <w:t>a</w:t>
      </w:r>
      <w:r w:rsidR="0009683B" w:rsidRPr="0009683B">
        <w:rPr>
          <w:rFonts w:ascii="Times New Roman" w:hAnsi="Times New Roman" w:cs="Times New Roman"/>
          <w:sz w:val="24"/>
          <w:szCs w:val="24"/>
        </w:rPr>
        <w:t xml:space="preserve"> ostvareno je</w:t>
      </w:r>
      <w:r w:rsidR="00947D4F" w:rsidRPr="00947D4F">
        <w:rPr>
          <w:rFonts w:ascii="Times New Roman" w:hAnsi="Times New Roman" w:cs="Times New Roman"/>
          <w:sz w:val="24"/>
          <w:szCs w:val="24"/>
        </w:rPr>
        <w:t xml:space="preserve"> </w:t>
      </w:r>
      <w:r w:rsidR="00D11FCC">
        <w:rPr>
          <w:rFonts w:ascii="Times New Roman" w:hAnsi="Times New Roman" w:cs="Times New Roman"/>
          <w:sz w:val="24"/>
          <w:szCs w:val="24"/>
        </w:rPr>
        <w:t>11.341.819,50</w:t>
      </w:r>
      <w:r w:rsidR="007650C0">
        <w:rPr>
          <w:rFonts w:ascii="Times New Roman" w:hAnsi="Times New Roman" w:cs="Times New Roman"/>
          <w:sz w:val="24"/>
          <w:szCs w:val="24"/>
        </w:rPr>
        <w:t xml:space="preserve"> eura</w:t>
      </w:r>
      <w:r w:rsidR="009C0D76">
        <w:rPr>
          <w:rFonts w:ascii="Times New Roman" w:hAnsi="Times New Roman" w:cs="Times New Roman"/>
          <w:sz w:val="24"/>
          <w:szCs w:val="24"/>
        </w:rPr>
        <w:t xml:space="preserve">. Najveći dio </w:t>
      </w:r>
      <w:r w:rsidR="006256D4">
        <w:rPr>
          <w:rFonts w:ascii="Times New Roman" w:hAnsi="Times New Roman" w:cs="Times New Roman"/>
          <w:sz w:val="24"/>
          <w:szCs w:val="24"/>
        </w:rPr>
        <w:t>sredstava</w:t>
      </w:r>
      <w:r w:rsidR="00D11FCC">
        <w:rPr>
          <w:rFonts w:ascii="Times New Roman" w:hAnsi="Times New Roman" w:cs="Times New Roman"/>
          <w:sz w:val="24"/>
          <w:szCs w:val="24"/>
        </w:rPr>
        <w:t xml:space="preserve"> </w:t>
      </w:r>
      <w:r w:rsidR="0087526D">
        <w:rPr>
          <w:rFonts w:ascii="Times New Roman" w:hAnsi="Times New Roman" w:cs="Times New Roman"/>
          <w:sz w:val="24"/>
          <w:szCs w:val="24"/>
        </w:rPr>
        <w:t xml:space="preserve">    (</w:t>
      </w:r>
      <w:r w:rsidR="00D11FCC">
        <w:rPr>
          <w:rFonts w:ascii="Times New Roman" w:hAnsi="Times New Roman" w:cs="Times New Roman"/>
          <w:sz w:val="24"/>
          <w:szCs w:val="24"/>
        </w:rPr>
        <w:t>98,17 %</w:t>
      </w:r>
      <w:r w:rsidR="0087526D">
        <w:rPr>
          <w:rFonts w:ascii="Times New Roman" w:hAnsi="Times New Roman" w:cs="Times New Roman"/>
          <w:sz w:val="24"/>
          <w:szCs w:val="24"/>
        </w:rPr>
        <w:t xml:space="preserve">) </w:t>
      </w:r>
      <w:r w:rsidR="006256D4">
        <w:rPr>
          <w:rFonts w:ascii="Times New Roman" w:hAnsi="Times New Roman" w:cs="Times New Roman"/>
          <w:sz w:val="24"/>
          <w:szCs w:val="24"/>
        </w:rPr>
        <w:t xml:space="preserve">ostvaren je na izvoru financiranja 52 Ostale pomoći </w:t>
      </w:r>
      <w:r w:rsidR="001569EA">
        <w:rPr>
          <w:rFonts w:ascii="Times New Roman" w:hAnsi="Times New Roman" w:cs="Times New Roman"/>
          <w:sz w:val="24"/>
          <w:szCs w:val="24"/>
        </w:rPr>
        <w:t>i</w:t>
      </w:r>
      <w:r w:rsidR="006256D4"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BA7B55">
        <w:rPr>
          <w:rFonts w:ascii="Times New Roman" w:hAnsi="Times New Roman" w:cs="Times New Roman"/>
          <w:sz w:val="24"/>
          <w:szCs w:val="24"/>
        </w:rPr>
        <w:t>isplatu sredstava i namjensk</w:t>
      </w:r>
      <w:r w:rsidR="00D1401C">
        <w:rPr>
          <w:rFonts w:ascii="Times New Roman" w:hAnsi="Times New Roman" w:cs="Times New Roman"/>
          <w:sz w:val="24"/>
          <w:szCs w:val="24"/>
        </w:rPr>
        <w:t>e</w:t>
      </w:r>
      <w:r w:rsidR="00BA7B55">
        <w:rPr>
          <w:rFonts w:ascii="Times New Roman" w:hAnsi="Times New Roman" w:cs="Times New Roman"/>
          <w:sz w:val="24"/>
          <w:szCs w:val="24"/>
        </w:rPr>
        <w:t xml:space="preserve"> pomoći zdravstvenim ustanovama za podmirivanje dijela dospjelih obveza prema dobavljačima lijekova, potrošnog i </w:t>
      </w:r>
      <w:proofErr w:type="spellStart"/>
      <w:r w:rsidR="00BA7B55">
        <w:rPr>
          <w:rFonts w:ascii="Times New Roman" w:hAnsi="Times New Roman" w:cs="Times New Roman"/>
          <w:sz w:val="24"/>
          <w:szCs w:val="24"/>
        </w:rPr>
        <w:t>ugradbenog</w:t>
      </w:r>
      <w:proofErr w:type="spellEnd"/>
      <w:r w:rsidR="00D1401C">
        <w:rPr>
          <w:rFonts w:ascii="Times New Roman" w:hAnsi="Times New Roman" w:cs="Times New Roman"/>
          <w:sz w:val="24"/>
          <w:szCs w:val="24"/>
        </w:rPr>
        <w:t xml:space="preserve"> medicinskog materijala</w:t>
      </w:r>
      <w:r w:rsidR="006256D4">
        <w:rPr>
          <w:rFonts w:ascii="Times New Roman" w:hAnsi="Times New Roman" w:cs="Times New Roman"/>
          <w:sz w:val="24"/>
          <w:szCs w:val="24"/>
        </w:rPr>
        <w:t xml:space="preserve"> temeljem </w:t>
      </w:r>
      <w:r w:rsidR="00D11FCC">
        <w:rPr>
          <w:rFonts w:ascii="Times New Roman" w:hAnsi="Times New Roman" w:cs="Times New Roman"/>
          <w:sz w:val="24"/>
          <w:szCs w:val="24"/>
        </w:rPr>
        <w:t>Odluke Vlade Republike Hrvatske</w:t>
      </w:r>
      <w:r w:rsidR="00DE734A">
        <w:rPr>
          <w:rFonts w:ascii="Times New Roman" w:hAnsi="Times New Roman" w:cs="Times New Roman"/>
          <w:sz w:val="24"/>
          <w:szCs w:val="24"/>
        </w:rPr>
        <w:t>. Na izvoru financiranja 51 Pomoći EU</w:t>
      </w:r>
      <w:r w:rsidR="00D11FCC">
        <w:rPr>
          <w:rFonts w:ascii="Times New Roman" w:hAnsi="Times New Roman" w:cs="Times New Roman"/>
          <w:sz w:val="24"/>
          <w:szCs w:val="24"/>
        </w:rPr>
        <w:t xml:space="preserve"> </w:t>
      </w:r>
      <w:r w:rsidR="001569EA">
        <w:rPr>
          <w:rFonts w:ascii="Times New Roman" w:hAnsi="Times New Roman" w:cs="Times New Roman"/>
          <w:sz w:val="24"/>
          <w:szCs w:val="24"/>
        </w:rPr>
        <w:t>kompletan iznos odnosi se na primljeni predujam za projekt</w:t>
      </w:r>
      <w:r w:rsidR="00E6040A">
        <w:rPr>
          <w:rFonts w:ascii="Times New Roman" w:hAnsi="Times New Roman" w:cs="Times New Roman"/>
          <w:sz w:val="24"/>
          <w:szCs w:val="24"/>
        </w:rPr>
        <w:t xml:space="preserve"> JANE-2 </w:t>
      </w:r>
      <w:r w:rsidR="009E24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41E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="009E2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41E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9E24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E241E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="009E2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41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2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41E">
        <w:rPr>
          <w:rFonts w:ascii="Times New Roman" w:hAnsi="Times New Roman" w:cs="Times New Roman"/>
          <w:sz w:val="24"/>
          <w:szCs w:val="24"/>
        </w:rPr>
        <w:t>Expertise</w:t>
      </w:r>
      <w:proofErr w:type="spellEnd"/>
      <w:r w:rsidR="009E24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E241E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9E241E">
        <w:rPr>
          <w:rFonts w:ascii="Times New Roman" w:hAnsi="Times New Roman" w:cs="Times New Roman"/>
          <w:sz w:val="24"/>
          <w:szCs w:val="24"/>
        </w:rPr>
        <w:t xml:space="preserve">) </w:t>
      </w:r>
      <w:r w:rsidR="001569EA">
        <w:rPr>
          <w:rFonts w:ascii="Times New Roman" w:hAnsi="Times New Roman" w:cs="Times New Roman"/>
          <w:sz w:val="24"/>
          <w:szCs w:val="24"/>
        </w:rPr>
        <w:t xml:space="preserve">temeljem Ugovora između Europske izvršne agencije za zdravlje i digitalno gospodarstvo (HADEA) na temelju ovlasti delegiranih od Europske komisije FONDAZIONE IRCCS ISTITUTO NAZIONALE DEI TUMORI (INT) kao koordinatora projekta i </w:t>
      </w:r>
      <w:r w:rsidR="009E241E">
        <w:rPr>
          <w:rFonts w:ascii="Times New Roman" w:hAnsi="Times New Roman" w:cs="Times New Roman"/>
          <w:sz w:val="24"/>
          <w:szCs w:val="24"/>
        </w:rPr>
        <w:t>Kliničk</w:t>
      </w:r>
      <w:r w:rsidR="001569EA">
        <w:rPr>
          <w:rFonts w:ascii="Times New Roman" w:hAnsi="Times New Roman" w:cs="Times New Roman"/>
          <w:sz w:val="24"/>
          <w:szCs w:val="24"/>
        </w:rPr>
        <w:t>og</w:t>
      </w:r>
      <w:r w:rsidR="009E241E">
        <w:rPr>
          <w:rFonts w:ascii="Times New Roman" w:hAnsi="Times New Roman" w:cs="Times New Roman"/>
          <w:sz w:val="24"/>
          <w:szCs w:val="24"/>
        </w:rPr>
        <w:t xml:space="preserve"> bolničk</w:t>
      </w:r>
      <w:r w:rsidR="001569EA">
        <w:rPr>
          <w:rFonts w:ascii="Times New Roman" w:hAnsi="Times New Roman" w:cs="Times New Roman"/>
          <w:sz w:val="24"/>
          <w:szCs w:val="24"/>
        </w:rPr>
        <w:t>og centra</w:t>
      </w:r>
      <w:r w:rsidR="009E241E">
        <w:rPr>
          <w:rFonts w:ascii="Times New Roman" w:hAnsi="Times New Roman" w:cs="Times New Roman"/>
          <w:sz w:val="24"/>
          <w:szCs w:val="24"/>
        </w:rPr>
        <w:t xml:space="preserve"> Sestre milosrdnice </w:t>
      </w:r>
      <w:r w:rsidR="001569EA">
        <w:rPr>
          <w:rFonts w:ascii="Times New Roman" w:hAnsi="Times New Roman" w:cs="Times New Roman"/>
          <w:sz w:val="24"/>
          <w:szCs w:val="24"/>
        </w:rPr>
        <w:t xml:space="preserve">koji je </w:t>
      </w:r>
      <w:r w:rsidR="009E241E">
        <w:rPr>
          <w:rFonts w:ascii="Times New Roman" w:hAnsi="Times New Roman" w:cs="Times New Roman"/>
          <w:sz w:val="24"/>
          <w:szCs w:val="24"/>
        </w:rPr>
        <w:t>glavni partner za Republiku Hrvatsku</w:t>
      </w:r>
      <w:r w:rsidR="001569EA">
        <w:rPr>
          <w:rFonts w:ascii="Times New Roman" w:hAnsi="Times New Roman" w:cs="Times New Roman"/>
          <w:sz w:val="24"/>
          <w:szCs w:val="24"/>
        </w:rPr>
        <w:t xml:space="preserve">. Dio sredstava u iznosu od 82.370,25 eura prenesen je </w:t>
      </w:r>
      <w:r w:rsidR="009E241E">
        <w:rPr>
          <w:rFonts w:ascii="Times New Roman" w:hAnsi="Times New Roman" w:cs="Times New Roman"/>
          <w:sz w:val="24"/>
          <w:szCs w:val="24"/>
        </w:rPr>
        <w:t>naš</w:t>
      </w:r>
      <w:r w:rsidR="001569EA">
        <w:rPr>
          <w:rFonts w:ascii="Times New Roman" w:hAnsi="Times New Roman" w:cs="Times New Roman"/>
          <w:sz w:val="24"/>
          <w:szCs w:val="24"/>
        </w:rPr>
        <w:t>em</w:t>
      </w:r>
      <w:r w:rsidR="009E241E">
        <w:rPr>
          <w:rFonts w:ascii="Times New Roman" w:hAnsi="Times New Roman" w:cs="Times New Roman"/>
          <w:sz w:val="24"/>
          <w:szCs w:val="24"/>
        </w:rPr>
        <w:t xml:space="preserve"> partner</w:t>
      </w:r>
      <w:r w:rsidR="001569EA">
        <w:rPr>
          <w:rFonts w:ascii="Times New Roman" w:hAnsi="Times New Roman" w:cs="Times New Roman"/>
          <w:sz w:val="24"/>
          <w:szCs w:val="24"/>
        </w:rPr>
        <w:t xml:space="preserve">u na projektu </w:t>
      </w:r>
      <w:r w:rsidR="009E241E">
        <w:rPr>
          <w:rFonts w:ascii="Times New Roman" w:hAnsi="Times New Roman" w:cs="Times New Roman"/>
          <w:sz w:val="24"/>
          <w:szCs w:val="24"/>
        </w:rPr>
        <w:t>Kliničk</w:t>
      </w:r>
      <w:r w:rsidR="001569EA">
        <w:rPr>
          <w:rFonts w:ascii="Times New Roman" w:hAnsi="Times New Roman" w:cs="Times New Roman"/>
          <w:sz w:val="24"/>
          <w:szCs w:val="24"/>
        </w:rPr>
        <w:t>om</w:t>
      </w:r>
      <w:r w:rsidR="009E241E">
        <w:rPr>
          <w:rFonts w:ascii="Times New Roman" w:hAnsi="Times New Roman" w:cs="Times New Roman"/>
          <w:sz w:val="24"/>
          <w:szCs w:val="24"/>
        </w:rPr>
        <w:t xml:space="preserve"> bolničk</w:t>
      </w:r>
      <w:r w:rsidR="001569EA">
        <w:rPr>
          <w:rFonts w:ascii="Times New Roman" w:hAnsi="Times New Roman" w:cs="Times New Roman"/>
          <w:sz w:val="24"/>
          <w:szCs w:val="24"/>
        </w:rPr>
        <w:t>om</w:t>
      </w:r>
      <w:r w:rsidR="009E241E">
        <w:rPr>
          <w:rFonts w:ascii="Times New Roman" w:hAnsi="Times New Roman" w:cs="Times New Roman"/>
          <w:sz w:val="24"/>
          <w:szCs w:val="24"/>
        </w:rPr>
        <w:t xml:space="preserve"> centr</w:t>
      </w:r>
      <w:r w:rsidR="001569EA">
        <w:rPr>
          <w:rFonts w:ascii="Times New Roman" w:hAnsi="Times New Roman" w:cs="Times New Roman"/>
          <w:sz w:val="24"/>
          <w:szCs w:val="24"/>
        </w:rPr>
        <w:t>u Zagreb</w:t>
      </w:r>
      <w:r w:rsidR="00E6040A" w:rsidRPr="00E6040A">
        <w:rPr>
          <w:rFonts w:ascii="Times New Roman" w:hAnsi="Times New Roman" w:cs="Times New Roman"/>
          <w:sz w:val="24"/>
          <w:szCs w:val="24"/>
        </w:rPr>
        <w:t>.</w:t>
      </w:r>
      <w:r w:rsidR="00E6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423" w:rsidRDefault="007742BC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C1">
        <w:rPr>
          <w:rFonts w:ascii="Times New Roman" w:hAnsi="Times New Roman" w:cs="Times New Roman"/>
          <w:sz w:val="24"/>
          <w:szCs w:val="24"/>
        </w:rPr>
        <w:t xml:space="preserve">- </w:t>
      </w:r>
      <w:r w:rsidR="00AE7565">
        <w:rPr>
          <w:rFonts w:ascii="Times New Roman" w:hAnsi="Times New Roman" w:cs="Times New Roman"/>
          <w:sz w:val="24"/>
          <w:szCs w:val="24"/>
        </w:rPr>
        <w:t>P</w:t>
      </w:r>
      <w:r w:rsidR="00BE62E3">
        <w:rPr>
          <w:rFonts w:ascii="Times New Roman" w:hAnsi="Times New Roman" w:cs="Times New Roman"/>
          <w:sz w:val="24"/>
          <w:szCs w:val="24"/>
        </w:rPr>
        <w:t xml:space="preserve">lanirani iznos na </w:t>
      </w:r>
      <w:r w:rsidR="00BE62E3" w:rsidRPr="00E35423">
        <w:rPr>
          <w:rFonts w:ascii="Times New Roman" w:hAnsi="Times New Roman" w:cs="Times New Roman"/>
          <w:b/>
          <w:sz w:val="24"/>
          <w:szCs w:val="24"/>
        </w:rPr>
        <w:t>skupini prihoda 6</w:t>
      </w:r>
      <w:r w:rsidR="000E5C43">
        <w:rPr>
          <w:rFonts w:ascii="Times New Roman" w:hAnsi="Times New Roman" w:cs="Times New Roman"/>
          <w:b/>
          <w:sz w:val="24"/>
          <w:szCs w:val="24"/>
        </w:rPr>
        <w:t>4</w:t>
      </w:r>
      <w:r w:rsidR="00BE62E3">
        <w:rPr>
          <w:rFonts w:ascii="Times New Roman" w:hAnsi="Times New Roman" w:cs="Times New Roman"/>
          <w:sz w:val="24"/>
          <w:szCs w:val="24"/>
        </w:rPr>
        <w:t xml:space="preserve"> </w:t>
      </w:r>
      <w:r w:rsidR="00AE7565"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="00BE62E3">
        <w:rPr>
          <w:rFonts w:ascii="Times New Roman" w:hAnsi="Times New Roman" w:cs="Times New Roman"/>
          <w:sz w:val="24"/>
          <w:szCs w:val="24"/>
        </w:rPr>
        <w:t xml:space="preserve">odnosi se na izvor financiranja 31 Vlastiti prihodi </w:t>
      </w:r>
      <w:r w:rsidR="002B55BA">
        <w:rPr>
          <w:rFonts w:ascii="Times New Roman" w:hAnsi="Times New Roman" w:cs="Times New Roman"/>
          <w:sz w:val="24"/>
          <w:szCs w:val="24"/>
        </w:rPr>
        <w:t xml:space="preserve">koji su </w:t>
      </w:r>
      <w:r w:rsidR="009E241E">
        <w:rPr>
          <w:rFonts w:ascii="Times New Roman" w:hAnsi="Times New Roman" w:cs="Times New Roman"/>
          <w:sz w:val="24"/>
          <w:szCs w:val="24"/>
        </w:rPr>
        <w:t>tije</w:t>
      </w:r>
      <w:r w:rsidR="006F342C">
        <w:rPr>
          <w:rFonts w:ascii="Times New Roman" w:hAnsi="Times New Roman" w:cs="Times New Roman"/>
          <w:sz w:val="24"/>
          <w:szCs w:val="24"/>
        </w:rPr>
        <w:t>kom 202</w:t>
      </w:r>
      <w:r w:rsidR="004D60BB">
        <w:rPr>
          <w:rFonts w:ascii="Times New Roman" w:hAnsi="Times New Roman" w:cs="Times New Roman"/>
          <w:sz w:val="24"/>
          <w:szCs w:val="24"/>
        </w:rPr>
        <w:t>5</w:t>
      </w:r>
      <w:r w:rsidR="006F342C">
        <w:rPr>
          <w:rFonts w:ascii="Times New Roman" w:hAnsi="Times New Roman" w:cs="Times New Roman"/>
          <w:sz w:val="24"/>
          <w:szCs w:val="24"/>
        </w:rPr>
        <w:t xml:space="preserve">. godine </w:t>
      </w:r>
      <w:r w:rsidR="002B55BA">
        <w:rPr>
          <w:rFonts w:ascii="Times New Roman" w:hAnsi="Times New Roman" w:cs="Times New Roman"/>
          <w:sz w:val="24"/>
          <w:szCs w:val="24"/>
        </w:rPr>
        <w:t xml:space="preserve">ostvareni </w:t>
      </w:r>
      <w:r w:rsidR="00B50B97">
        <w:rPr>
          <w:rFonts w:ascii="Times New Roman" w:hAnsi="Times New Roman" w:cs="Times New Roman"/>
          <w:sz w:val="24"/>
          <w:szCs w:val="24"/>
        </w:rPr>
        <w:t xml:space="preserve">u iznosu </w:t>
      </w:r>
      <w:r w:rsidR="009E241E">
        <w:rPr>
          <w:rFonts w:ascii="Times New Roman" w:hAnsi="Times New Roman" w:cs="Times New Roman"/>
          <w:sz w:val="24"/>
          <w:szCs w:val="24"/>
        </w:rPr>
        <w:t xml:space="preserve">od </w:t>
      </w:r>
      <w:r w:rsidR="004D60BB">
        <w:rPr>
          <w:rFonts w:ascii="Times New Roman" w:hAnsi="Times New Roman" w:cs="Times New Roman"/>
          <w:sz w:val="24"/>
          <w:szCs w:val="24"/>
        </w:rPr>
        <w:t>44.136,31 euro</w:t>
      </w:r>
      <w:r w:rsidR="007650C0">
        <w:rPr>
          <w:rFonts w:ascii="Times New Roman" w:hAnsi="Times New Roman" w:cs="Times New Roman"/>
          <w:sz w:val="24"/>
          <w:szCs w:val="24"/>
        </w:rPr>
        <w:t xml:space="preserve"> ili </w:t>
      </w:r>
      <w:r w:rsidR="004D60BB">
        <w:rPr>
          <w:rFonts w:ascii="Times New Roman" w:hAnsi="Times New Roman" w:cs="Times New Roman"/>
          <w:sz w:val="24"/>
          <w:szCs w:val="24"/>
        </w:rPr>
        <w:t>10,34</w:t>
      </w:r>
      <w:r w:rsidR="007650C0">
        <w:rPr>
          <w:rFonts w:ascii="Times New Roman" w:hAnsi="Times New Roman" w:cs="Times New Roman"/>
          <w:sz w:val="24"/>
          <w:szCs w:val="24"/>
        </w:rPr>
        <w:t xml:space="preserve"> % </w:t>
      </w:r>
      <w:r w:rsidR="009E241E">
        <w:rPr>
          <w:rFonts w:ascii="Times New Roman" w:hAnsi="Times New Roman" w:cs="Times New Roman"/>
          <w:sz w:val="24"/>
          <w:szCs w:val="24"/>
        </w:rPr>
        <w:t>viš</w:t>
      </w:r>
      <w:r w:rsidR="004510A6">
        <w:rPr>
          <w:rFonts w:ascii="Times New Roman" w:hAnsi="Times New Roman" w:cs="Times New Roman"/>
          <w:sz w:val="24"/>
          <w:szCs w:val="24"/>
        </w:rPr>
        <w:t xml:space="preserve">e od </w:t>
      </w:r>
      <w:r w:rsidR="009E241E">
        <w:rPr>
          <w:rFonts w:ascii="Times New Roman" w:hAnsi="Times New Roman" w:cs="Times New Roman"/>
          <w:sz w:val="24"/>
          <w:szCs w:val="24"/>
        </w:rPr>
        <w:t>planiranog</w:t>
      </w:r>
      <w:r w:rsidR="004510A6">
        <w:rPr>
          <w:rFonts w:ascii="Times New Roman" w:hAnsi="Times New Roman" w:cs="Times New Roman"/>
          <w:sz w:val="24"/>
          <w:szCs w:val="24"/>
        </w:rPr>
        <w:t xml:space="preserve"> </w:t>
      </w:r>
      <w:r w:rsidR="009E241E">
        <w:rPr>
          <w:rFonts w:ascii="Times New Roman" w:hAnsi="Times New Roman" w:cs="Times New Roman"/>
          <w:sz w:val="24"/>
          <w:szCs w:val="24"/>
        </w:rPr>
        <w:t>iznosa</w:t>
      </w:r>
      <w:r w:rsidR="007650C0">
        <w:rPr>
          <w:rFonts w:ascii="Times New Roman" w:hAnsi="Times New Roman" w:cs="Times New Roman"/>
          <w:sz w:val="24"/>
          <w:szCs w:val="24"/>
        </w:rPr>
        <w:t>,</w:t>
      </w:r>
      <w:r w:rsidR="00CE4B54">
        <w:rPr>
          <w:rFonts w:ascii="Times New Roman" w:hAnsi="Times New Roman" w:cs="Times New Roman"/>
          <w:sz w:val="24"/>
          <w:szCs w:val="24"/>
        </w:rPr>
        <w:t xml:space="preserve"> </w:t>
      </w:r>
      <w:r w:rsidR="002B55BA">
        <w:rPr>
          <w:rFonts w:ascii="Times New Roman" w:hAnsi="Times New Roman" w:cs="Times New Roman"/>
          <w:sz w:val="24"/>
          <w:szCs w:val="24"/>
        </w:rPr>
        <w:t>a odnose</w:t>
      </w:r>
      <w:r w:rsidR="00E35423">
        <w:rPr>
          <w:rFonts w:ascii="Times New Roman" w:hAnsi="Times New Roman" w:cs="Times New Roman"/>
          <w:sz w:val="24"/>
          <w:szCs w:val="24"/>
        </w:rPr>
        <w:t xml:space="preserve"> </w:t>
      </w:r>
      <w:r w:rsidR="00E35423" w:rsidRPr="00EE72AB">
        <w:rPr>
          <w:rFonts w:ascii="Times New Roman" w:hAnsi="Times New Roman" w:cs="Times New Roman"/>
          <w:sz w:val="24"/>
          <w:szCs w:val="24"/>
        </w:rPr>
        <w:t xml:space="preserve">se na prihode </w:t>
      </w:r>
      <w:r w:rsidR="00E35423" w:rsidRPr="006F13DB">
        <w:rPr>
          <w:rFonts w:ascii="Times New Roman" w:hAnsi="Times New Roman" w:cs="Times New Roman"/>
          <w:sz w:val="24"/>
          <w:szCs w:val="24"/>
        </w:rPr>
        <w:t>od naplaćenih ovrha</w:t>
      </w:r>
      <w:r w:rsidR="002B55BA" w:rsidRPr="006F13DB">
        <w:rPr>
          <w:rFonts w:ascii="Times New Roman" w:hAnsi="Times New Roman" w:cs="Times New Roman"/>
          <w:sz w:val="24"/>
          <w:szCs w:val="24"/>
        </w:rPr>
        <w:t>.</w:t>
      </w:r>
    </w:p>
    <w:p w:rsidR="00A412E8" w:rsidRDefault="00C64D50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5BA">
        <w:rPr>
          <w:rFonts w:ascii="Times New Roman" w:hAnsi="Times New Roman" w:cs="Times New Roman"/>
          <w:sz w:val="24"/>
          <w:szCs w:val="24"/>
        </w:rPr>
        <w:t>P</w:t>
      </w:r>
      <w:r w:rsidR="00484451">
        <w:rPr>
          <w:rFonts w:ascii="Times New Roman" w:hAnsi="Times New Roman" w:cs="Times New Roman"/>
          <w:sz w:val="24"/>
          <w:szCs w:val="24"/>
        </w:rPr>
        <w:t>rihodi od upravnih i administrativnih pristojbi, pristojbi po posebnim propisima i naknada</w:t>
      </w:r>
      <w:r w:rsidR="00E35423">
        <w:rPr>
          <w:rFonts w:ascii="Times New Roman" w:hAnsi="Times New Roman" w:cs="Times New Roman"/>
          <w:sz w:val="24"/>
          <w:szCs w:val="24"/>
        </w:rPr>
        <w:t xml:space="preserve"> </w:t>
      </w:r>
      <w:r w:rsidR="00E35423" w:rsidRPr="00E35423">
        <w:rPr>
          <w:rFonts w:ascii="Times New Roman" w:hAnsi="Times New Roman" w:cs="Times New Roman"/>
          <w:b/>
          <w:sz w:val="24"/>
          <w:szCs w:val="24"/>
        </w:rPr>
        <w:t>(skupina prihoda 65)</w:t>
      </w:r>
      <w:r w:rsidR="00E35423" w:rsidRPr="00E35423">
        <w:rPr>
          <w:rFonts w:ascii="Times New Roman" w:hAnsi="Times New Roman" w:cs="Times New Roman"/>
          <w:sz w:val="24"/>
          <w:szCs w:val="24"/>
        </w:rPr>
        <w:t xml:space="preserve"> </w:t>
      </w:r>
      <w:r w:rsidR="000E5C43" w:rsidRPr="00497C40">
        <w:rPr>
          <w:rFonts w:ascii="Times New Roman" w:hAnsi="Times New Roman" w:cs="Times New Roman"/>
          <w:sz w:val="24"/>
          <w:szCs w:val="24"/>
        </w:rPr>
        <w:t>odnose se na dopunsko zdravstveno osiguranje te participacije naplaćene od pacijenata</w:t>
      </w:r>
      <w:r w:rsidR="001A5FDD" w:rsidRPr="00497C40">
        <w:rPr>
          <w:rFonts w:ascii="Times New Roman" w:hAnsi="Times New Roman" w:cs="Times New Roman"/>
          <w:sz w:val="24"/>
          <w:szCs w:val="24"/>
        </w:rPr>
        <w:t>,</w:t>
      </w:r>
      <w:r w:rsidR="000E5C43" w:rsidRPr="00497C40">
        <w:rPr>
          <w:rFonts w:ascii="Times New Roman" w:hAnsi="Times New Roman" w:cs="Times New Roman"/>
          <w:sz w:val="24"/>
          <w:szCs w:val="24"/>
        </w:rPr>
        <w:t xml:space="preserve"> a </w:t>
      </w:r>
      <w:r w:rsidR="00B81DE6">
        <w:rPr>
          <w:rFonts w:ascii="Times New Roman" w:hAnsi="Times New Roman" w:cs="Times New Roman"/>
          <w:sz w:val="24"/>
          <w:szCs w:val="24"/>
        </w:rPr>
        <w:t>ostvar</w:t>
      </w:r>
      <w:r w:rsidR="00E35423" w:rsidRPr="00497C40">
        <w:rPr>
          <w:rFonts w:ascii="Times New Roman" w:hAnsi="Times New Roman" w:cs="Times New Roman"/>
          <w:sz w:val="24"/>
          <w:szCs w:val="24"/>
        </w:rPr>
        <w:t xml:space="preserve">eni su </w:t>
      </w:r>
      <w:r w:rsidR="004D60BB" w:rsidRPr="00497C40">
        <w:rPr>
          <w:rFonts w:ascii="Times New Roman" w:hAnsi="Times New Roman" w:cs="Times New Roman"/>
          <w:sz w:val="24"/>
          <w:szCs w:val="24"/>
        </w:rPr>
        <w:t>22,89</w:t>
      </w:r>
      <w:r w:rsidR="00E35423" w:rsidRPr="00497C40">
        <w:rPr>
          <w:rFonts w:ascii="Times New Roman" w:hAnsi="Times New Roman" w:cs="Times New Roman"/>
          <w:sz w:val="24"/>
          <w:szCs w:val="24"/>
        </w:rPr>
        <w:t xml:space="preserve"> %</w:t>
      </w:r>
      <w:r w:rsidR="00B93EB5" w:rsidRPr="00497C40">
        <w:rPr>
          <w:rFonts w:ascii="Times New Roman" w:hAnsi="Times New Roman" w:cs="Times New Roman"/>
          <w:sz w:val="24"/>
          <w:szCs w:val="24"/>
        </w:rPr>
        <w:t xml:space="preserve"> više</w:t>
      </w:r>
      <w:r w:rsidR="00E35423" w:rsidRPr="00497C40">
        <w:rPr>
          <w:rFonts w:ascii="Times New Roman" w:hAnsi="Times New Roman" w:cs="Times New Roman"/>
          <w:sz w:val="24"/>
          <w:szCs w:val="24"/>
        </w:rPr>
        <w:t xml:space="preserve"> u odnosu na planirana sredstva</w:t>
      </w:r>
      <w:r w:rsidR="001A5FDD" w:rsidRPr="00497C40">
        <w:rPr>
          <w:rFonts w:ascii="Times New Roman" w:hAnsi="Times New Roman" w:cs="Times New Roman"/>
          <w:sz w:val="24"/>
          <w:szCs w:val="24"/>
        </w:rPr>
        <w:t xml:space="preserve"> za 202</w:t>
      </w:r>
      <w:r w:rsidR="004D60BB" w:rsidRPr="00497C40">
        <w:rPr>
          <w:rFonts w:ascii="Times New Roman" w:hAnsi="Times New Roman" w:cs="Times New Roman"/>
          <w:sz w:val="24"/>
          <w:szCs w:val="24"/>
        </w:rPr>
        <w:t>5</w:t>
      </w:r>
      <w:r w:rsidR="001A5FDD" w:rsidRPr="00497C40">
        <w:rPr>
          <w:rFonts w:ascii="Times New Roman" w:hAnsi="Times New Roman" w:cs="Times New Roman"/>
          <w:sz w:val="24"/>
          <w:szCs w:val="24"/>
        </w:rPr>
        <w:t>. godinu.</w:t>
      </w:r>
      <w:r w:rsidR="00E3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43" w:rsidRDefault="000E5C43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5B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E5C43">
        <w:rPr>
          <w:rFonts w:ascii="Times New Roman" w:hAnsi="Times New Roman" w:cs="Times New Roman"/>
          <w:b/>
          <w:sz w:val="24"/>
          <w:szCs w:val="24"/>
        </w:rPr>
        <w:t>skupini prihoda 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5BA">
        <w:rPr>
          <w:rFonts w:ascii="Times New Roman" w:hAnsi="Times New Roman" w:cs="Times New Roman"/>
          <w:sz w:val="24"/>
          <w:szCs w:val="24"/>
        </w:rPr>
        <w:t>Prihodi od prodaje proizvoda i robe te pruženih usluga i prihodi od donacija te povrati po protestiranim jamstvima</w:t>
      </w:r>
      <w:r w:rsidR="001A5FDD">
        <w:rPr>
          <w:rFonts w:ascii="Times New Roman" w:hAnsi="Times New Roman" w:cs="Times New Roman"/>
          <w:sz w:val="24"/>
          <w:szCs w:val="24"/>
        </w:rPr>
        <w:t xml:space="preserve"> u </w:t>
      </w:r>
      <w:r w:rsidR="009E241E">
        <w:rPr>
          <w:rFonts w:ascii="Times New Roman" w:hAnsi="Times New Roman" w:cs="Times New Roman"/>
          <w:sz w:val="24"/>
          <w:szCs w:val="24"/>
        </w:rPr>
        <w:t xml:space="preserve">2025. godini </w:t>
      </w:r>
      <w:r>
        <w:rPr>
          <w:rFonts w:ascii="Times New Roman" w:hAnsi="Times New Roman" w:cs="Times New Roman"/>
          <w:sz w:val="24"/>
          <w:szCs w:val="24"/>
        </w:rPr>
        <w:t xml:space="preserve">ostvareno je </w:t>
      </w:r>
      <w:r w:rsidR="00B93EB5">
        <w:rPr>
          <w:rFonts w:ascii="Times New Roman" w:hAnsi="Times New Roman" w:cs="Times New Roman"/>
          <w:sz w:val="24"/>
          <w:szCs w:val="24"/>
        </w:rPr>
        <w:t>9</w:t>
      </w:r>
      <w:r w:rsidR="00CE4735">
        <w:rPr>
          <w:rFonts w:ascii="Times New Roman" w:hAnsi="Times New Roman" w:cs="Times New Roman"/>
          <w:sz w:val="24"/>
          <w:szCs w:val="24"/>
        </w:rPr>
        <w:t>5</w:t>
      </w:r>
      <w:r w:rsidR="0076477E">
        <w:rPr>
          <w:rFonts w:ascii="Times New Roman" w:hAnsi="Times New Roman" w:cs="Times New Roman"/>
          <w:sz w:val="24"/>
          <w:szCs w:val="24"/>
        </w:rPr>
        <w:t>,</w:t>
      </w:r>
      <w:r w:rsidR="00CE4735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1A5FDD">
        <w:rPr>
          <w:rFonts w:ascii="Times New Roman" w:hAnsi="Times New Roman" w:cs="Times New Roman"/>
          <w:sz w:val="24"/>
          <w:szCs w:val="24"/>
        </w:rPr>
        <w:t xml:space="preserve"> ukupno</w:t>
      </w:r>
      <w:r>
        <w:rPr>
          <w:rFonts w:ascii="Times New Roman" w:hAnsi="Times New Roman" w:cs="Times New Roman"/>
          <w:sz w:val="24"/>
          <w:szCs w:val="24"/>
        </w:rPr>
        <w:t xml:space="preserve"> planiranih sredstava i to na izvoru fi</w:t>
      </w:r>
      <w:r w:rsidR="005C478E">
        <w:rPr>
          <w:rFonts w:ascii="Times New Roman" w:hAnsi="Times New Roman" w:cs="Times New Roman"/>
          <w:sz w:val="24"/>
          <w:szCs w:val="24"/>
        </w:rPr>
        <w:t>nanciranja 31 Vlastiti prihodi što se odnosi na prihode</w:t>
      </w:r>
      <w:r>
        <w:rPr>
          <w:rFonts w:ascii="Times New Roman" w:hAnsi="Times New Roman" w:cs="Times New Roman"/>
          <w:sz w:val="24"/>
          <w:szCs w:val="24"/>
        </w:rPr>
        <w:t xml:space="preserve"> drugih zdravstvenih ustanova, </w:t>
      </w:r>
      <w:r w:rsidR="005C478E">
        <w:rPr>
          <w:rFonts w:ascii="Times New Roman" w:hAnsi="Times New Roman" w:cs="Times New Roman"/>
          <w:sz w:val="24"/>
          <w:szCs w:val="24"/>
        </w:rPr>
        <w:t xml:space="preserve">kategoriju </w:t>
      </w:r>
      <w:r>
        <w:rPr>
          <w:rFonts w:ascii="Times New Roman" w:hAnsi="Times New Roman" w:cs="Times New Roman"/>
          <w:sz w:val="24"/>
          <w:szCs w:val="24"/>
        </w:rPr>
        <w:t xml:space="preserve">„plaća sam“ i </w:t>
      </w:r>
      <w:r w:rsidR="005C478E">
        <w:rPr>
          <w:rFonts w:ascii="Times New Roman" w:hAnsi="Times New Roman" w:cs="Times New Roman"/>
          <w:sz w:val="24"/>
          <w:szCs w:val="24"/>
        </w:rPr>
        <w:t>prihode od najma,</w:t>
      </w:r>
      <w:r>
        <w:rPr>
          <w:rFonts w:ascii="Times New Roman" w:hAnsi="Times New Roman" w:cs="Times New Roman"/>
          <w:sz w:val="24"/>
          <w:szCs w:val="24"/>
        </w:rPr>
        <w:t xml:space="preserve"> te na izvoru financiranja 61 Donacije </w:t>
      </w:r>
      <w:r w:rsidR="005C478E">
        <w:rPr>
          <w:rFonts w:ascii="Times New Roman" w:hAnsi="Times New Roman" w:cs="Times New Roman"/>
          <w:sz w:val="24"/>
          <w:szCs w:val="24"/>
        </w:rPr>
        <w:t xml:space="preserve">što se odnosi na </w:t>
      </w:r>
      <w:r>
        <w:rPr>
          <w:rFonts w:ascii="Times New Roman" w:hAnsi="Times New Roman" w:cs="Times New Roman"/>
          <w:sz w:val="24"/>
          <w:szCs w:val="24"/>
        </w:rPr>
        <w:t>tekuće donacije trgovačkih društava</w:t>
      </w:r>
      <w:r w:rsidR="002B55BA">
        <w:rPr>
          <w:rFonts w:ascii="Times New Roman" w:hAnsi="Times New Roman" w:cs="Times New Roman"/>
          <w:sz w:val="24"/>
          <w:szCs w:val="24"/>
        </w:rPr>
        <w:t>.</w:t>
      </w:r>
    </w:p>
    <w:p w:rsidR="00A412E8" w:rsidRDefault="00A412E8" w:rsidP="006F13D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Prihodi od nadležnog proračuna te HZZO-a temeljem ugovornih obveza </w:t>
      </w:r>
      <w:r w:rsidRPr="00E46E5C">
        <w:rPr>
          <w:rFonts w:ascii="Times New Roman" w:hAnsi="Times New Roman" w:cs="Times New Roman"/>
          <w:b/>
          <w:sz w:val="24"/>
          <w:szCs w:val="24"/>
        </w:rPr>
        <w:t xml:space="preserve">(skupina </w:t>
      </w:r>
      <w:r>
        <w:rPr>
          <w:rFonts w:ascii="Times New Roman" w:hAnsi="Times New Roman" w:cs="Times New Roman"/>
          <w:b/>
          <w:sz w:val="24"/>
          <w:szCs w:val="24"/>
        </w:rPr>
        <w:t>prihoda</w:t>
      </w:r>
      <w:r w:rsidRPr="00E46E5C">
        <w:rPr>
          <w:rFonts w:ascii="Times New Roman" w:hAnsi="Times New Roman" w:cs="Times New Roman"/>
          <w:b/>
          <w:sz w:val="24"/>
          <w:szCs w:val="24"/>
        </w:rPr>
        <w:t xml:space="preserve"> 67)</w:t>
      </w:r>
      <w:r>
        <w:rPr>
          <w:rFonts w:ascii="Times New Roman" w:hAnsi="Times New Roman" w:cs="Times New Roman"/>
          <w:sz w:val="24"/>
          <w:szCs w:val="24"/>
        </w:rPr>
        <w:t xml:space="preserve"> najvećim su dijelom </w:t>
      </w:r>
      <w:r w:rsidR="00DC47CB">
        <w:rPr>
          <w:rFonts w:ascii="Times New Roman" w:hAnsi="Times New Roman" w:cs="Times New Roman"/>
          <w:sz w:val="24"/>
          <w:szCs w:val="24"/>
        </w:rPr>
        <w:t>ostvareni</w:t>
      </w:r>
      <w:r>
        <w:rPr>
          <w:rFonts w:ascii="Times New Roman" w:hAnsi="Times New Roman" w:cs="Times New Roman"/>
          <w:sz w:val="24"/>
          <w:szCs w:val="24"/>
        </w:rPr>
        <w:t xml:space="preserve"> na izvoru financiranja 43 Ostali prihodi za posebne namjene a odnose se na financiranje redovnih rashoda poslovanja</w:t>
      </w:r>
      <w:r w:rsidR="005C478E">
        <w:rPr>
          <w:rFonts w:ascii="Times New Roman" w:hAnsi="Times New Roman" w:cs="Times New Roman"/>
          <w:sz w:val="24"/>
          <w:szCs w:val="24"/>
        </w:rPr>
        <w:t xml:space="preserve">. Značajan iznos ostvaren je i na </w:t>
      </w:r>
      <w:r w:rsidR="0076477E">
        <w:rPr>
          <w:rFonts w:ascii="Times New Roman" w:hAnsi="Times New Roman" w:cs="Times New Roman"/>
          <w:sz w:val="24"/>
          <w:szCs w:val="24"/>
        </w:rPr>
        <w:t>izvoru financi</w:t>
      </w:r>
      <w:r w:rsidR="00DC47CB">
        <w:rPr>
          <w:rFonts w:ascii="Times New Roman" w:hAnsi="Times New Roman" w:cs="Times New Roman"/>
          <w:sz w:val="24"/>
          <w:szCs w:val="24"/>
        </w:rPr>
        <w:t>ranja 11 Opći prihodi i primici</w:t>
      </w:r>
      <w:r w:rsidR="005C478E">
        <w:rPr>
          <w:rFonts w:ascii="Times New Roman" w:hAnsi="Times New Roman" w:cs="Times New Roman"/>
          <w:sz w:val="24"/>
          <w:szCs w:val="24"/>
        </w:rPr>
        <w:t>, a odnosi se na isplatu sredstava i namjenske pomoći bolničkim zdravstvenim ustanovama kojima je osnivač Republika Hrvatska i kojima su osnivači županije za podmirivanje dijela dospjelih obveza prema dobavljačima lijekova,</w:t>
      </w:r>
      <w:r w:rsidR="000C5D5B">
        <w:rPr>
          <w:rFonts w:ascii="Times New Roman" w:hAnsi="Times New Roman" w:cs="Times New Roman"/>
          <w:sz w:val="24"/>
          <w:szCs w:val="24"/>
        </w:rPr>
        <w:t xml:space="preserve">  potrošnog i </w:t>
      </w:r>
      <w:proofErr w:type="spellStart"/>
      <w:r w:rsidR="000C5D5B">
        <w:rPr>
          <w:rFonts w:ascii="Times New Roman" w:hAnsi="Times New Roman" w:cs="Times New Roman"/>
          <w:sz w:val="24"/>
          <w:szCs w:val="24"/>
        </w:rPr>
        <w:t>ugradbenog</w:t>
      </w:r>
      <w:proofErr w:type="spellEnd"/>
      <w:r w:rsidR="000C5D5B">
        <w:rPr>
          <w:rFonts w:ascii="Times New Roman" w:hAnsi="Times New Roman" w:cs="Times New Roman"/>
          <w:sz w:val="24"/>
          <w:szCs w:val="24"/>
        </w:rPr>
        <w:t xml:space="preserve"> medicinskog materijala primljenu u lipnju i prosincu 2025. godine, </w:t>
      </w:r>
      <w:r w:rsidR="005C478E">
        <w:rPr>
          <w:rFonts w:ascii="Times New Roman" w:hAnsi="Times New Roman" w:cs="Times New Roman"/>
          <w:sz w:val="24"/>
          <w:szCs w:val="24"/>
        </w:rPr>
        <w:t>te na sredstva za sanaciju štete od potresa i izgradnju bunkera za linearni akcelerator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5D5B">
        <w:rPr>
          <w:rFonts w:ascii="Times New Roman" w:hAnsi="Times New Roman" w:cs="Times New Roman"/>
          <w:sz w:val="24"/>
          <w:szCs w:val="24"/>
        </w:rPr>
        <w:t xml:space="preserve">Također su za sanaciju štete od potresa ostvarena sredstva i na izvoru financiranja 815 Namjenski primici – NPOO, te za izgradnju bunkera za linearni akcelerator na izvoru financiranja 581 Mehanizam za oporavak i otpornost. </w:t>
      </w:r>
      <w:r w:rsidR="00DC47CB">
        <w:rPr>
          <w:rFonts w:ascii="Times New Roman" w:hAnsi="Times New Roman" w:cs="Times New Roman"/>
          <w:sz w:val="24"/>
          <w:szCs w:val="24"/>
        </w:rPr>
        <w:t>Ostvarenje u</w:t>
      </w:r>
      <w:r>
        <w:rPr>
          <w:rFonts w:ascii="Times New Roman" w:hAnsi="Times New Roman" w:cs="Times New Roman"/>
          <w:sz w:val="24"/>
          <w:szCs w:val="24"/>
        </w:rPr>
        <w:t>kupno planiran</w:t>
      </w:r>
      <w:r w:rsidR="00DC47CB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sredst</w:t>
      </w:r>
      <w:r w:rsidR="00DC47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va na ovoj skupini prihoda </w:t>
      </w:r>
      <w:r w:rsidR="00DC47CB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7C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7CB">
        <w:rPr>
          <w:rFonts w:ascii="Times New Roman" w:hAnsi="Times New Roman" w:cs="Times New Roman"/>
          <w:sz w:val="24"/>
          <w:szCs w:val="24"/>
        </w:rPr>
        <w:t xml:space="preserve">za </w:t>
      </w:r>
      <w:r w:rsidR="0076477E">
        <w:rPr>
          <w:rFonts w:ascii="Times New Roman" w:hAnsi="Times New Roman" w:cs="Times New Roman"/>
          <w:sz w:val="24"/>
          <w:szCs w:val="24"/>
        </w:rPr>
        <w:t>2,8</w:t>
      </w:r>
      <w:r w:rsidR="00DC47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F13DB" w:rsidRDefault="00215634" w:rsidP="00497C4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A5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87FC6">
        <w:rPr>
          <w:rFonts w:ascii="Times New Roman" w:hAnsi="Times New Roman" w:cs="Times New Roman"/>
          <w:b/>
          <w:sz w:val="24"/>
          <w:szCs w:val="24"/>
        </w:rPr>
        <w:t>skupini prihod</w:t>
      </w:r>
      <w:r w:rsidRPr="00E46E5C">
        <w:rPr>
          <w:rFonts w:ascii="Times New Roman" w:hAnsi="Times New Roman" w:cs="Times New Roman"/>
          <w:b/>
          <w:sz w:val="24"/>
          <w:szCs w:val="24"/>
        </w:rPr>
        <w:t>a 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A53">
        <w:rPr>
          <w:rFonts w:ascii="Times New Roman" w:hAnsi="Times New Roman" w:cs="Times New Roman"/>
          <w:sz w:val="24"/>
          <w:szCs w:val="24"/>
        </w:rPr>
        <w:t>Kazne, upravne mjere i ostali prihodi</w:t>
      </w:r>
      <w:r w:rsidR="00DC47CB"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CE4735">
        <w:rPr>
          <w:rFonts w:ascii="Times New Roman" w:hAnsi="Times New Roman" w:cs="Times New Roman"/>
          <w:sz w:val="24"/>
          <w:szCs w:val="24"/>
        </w:rPr>
        <w:t>4,40</w:t>
      </w:r>
      <w:r>
        <w:rPr>
          <w:rFonts w:ascii="Times New Roman" w:hAnsi="Times New Roman" w:cs="Times New Roman"/>
          <w:sz w:val="24"/>
          <w:szCs w:val="24"/>
        </w:rPr>
        <w:t xml:space="preserve"> % više</w:t>
      </w:r>
      <w:r w:rsidR="00DC47CB">
        <w:rPr>
          <w:rFonts w:ascii="Times New Roman" w:hAnsi="Times New Roman" w:cs="Times New Roman"/>
          <w:sz w:val="24"/>
          <w:szCs w:val="24"/>
        </w:rPr>
        <w:t xml:space="preserve"> sredstava</w:t>
      </w:r>
      <w:r w:rsidR="00214A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5543F">
        <w:rPr>
          <w:rFonts w:ascii="Times New Roman" w:hAnsi="Times New Roman" w:cs="Times New Roman"/>
          <w:sz w:val="24"/>
          <w:szCs w:val="24"/>
        </w:rPr>
        <w:t>na</w:t>
      </w:r>
      <w:r w:rsidR="00C64D50" w:rsidRPr="0055543F">
        <w:rPr>
          <w:rFonts w:ascii="Times New Roman" w:hAnsi="Times New Roman" w:cs="Times New Roman"/>
          <w:sz w:val="24"/>
          <w:szCs w:val="24"/>
        </w:rPr>
        <w:t>jvećim se dijelom odnose</w:t>
      </w:r>
      <w:r w:rsidR="0055543F" w:rsidRPr="0055543F">
        <w:rPr>
          <w:rFonts w:ascii="Times New Roman" w:hAnsi="Times New Roman" w:cs="Times New Roman"/>
          <w:sz w:val="24"/>
          <w:szCs w:val="24"/>
        </w:rPr>
        <w:t xml:space="preserve"> na sredstva</w:t>
      </w:r>
      <w:r w:rsidR="006F13DB">
        <w:rPr>
          <w:rFonts w:ascii="Times New Roman" w:hAnsi="Times New Roman" w:cs="Times New Roman"/>
          <w:sz w:val="24"/>
          <w:szCs w:val="24"/>
        </w:rPr>
        <w:t xml:space="preserve"> doznačen</w:t>
      </w:r>
      <w:r w:rsidR="00DC47CB">
        <w:rPr>
          <w:rFonts w:ascii="Times New Roman" w:hAnsi="Times New Roman" w:cs="Times New Roman"/>
          <w:sz w:val="24"/>
          <w:szCs w:val="24"/>
        </w:rPr>
        <w:t>a</w:t>
      </w:r>
      <w:r w:rsidR="006F13DB">
        <w:rPr>
          <w:rFonts w:ascii="Times New Roman" w:hAnsi="Times New Roman" w:cs="Times New Roman"/>
          <w:sz w:val="24"/>
          <w:szCs w:val="24"/>
        </w:rPr>
        <w:t xml:space="preserve"> refundacij</w:t>
      </w:r>
      <w:r w:rsidR="00DC47CB">
        <w:rPr>
          <w:rFonts w:ascii="Times New Roman" w:hAnsi="Times New Roman" w:cs="Times New Roman"/>
          <w:sz w:val="24"/>
          <w:szCs w:val="24"/>
        </w:rPr>
        <w:t>om</w:t>
      </w:r>
      <w:r w:rsidR="006F13DB">
        <w:rPr>
          <w:rFonts w:ascii="Times New Roman" w:hAnsi="Times New Roman" w:cs="Times New Roman"/>
          <w:sz w:val="24"/>
          <w:szCs w:val="24"/>
        </w:rPr>
        <w:t xml:space="preserve"> troškova specijalizacij</w:t>
      </w:r>
      <w:r w:rsidR="008B41AB">
        <w:rPr>
          <w:rFonts w:ascii="Times New Roman" w:hAnsi="Times New Roman" w:cs="Times New Roman"/>
          <w:sz w:val="24"/>
          <w:szCs w:val="24"/>
        </w:rPr>
        <w:t>a</w:t>
      </w:r>
      <w:r w:rsidR="006F13DB">
        <w:rPr>
          <w:rFonts w:ascii="Times New Roman" w:hAnsi="Times New Roman" w:cs="Times New Roman"/>
          <w:sz w:val="24"/>
          <w:szCs w:val="24"/>
        </w:rPr>
        <w:t xml:space="preserve"> i </w:t>
      </w:r>
      <w:r w:rsidR="00497C40">
        <w:rPr>
          <w:rFonts w:ascii="Times New Roman" w:hAnsi="Times New Roman" w:cs="Times New Roman"/>
          <w:sz w:val="24"/>
          <w:szCs w:val="24"/>
        </w:rPr>
        <w:t>financijskog</w:t>
      </w:r>
      <w:r w:rsidR="006F13DB">
        <w:rPr>
          <w:rFonts w:ascii="Times New Roman" w:hAnsi="Times New Roman" w:cs="Times New Roman"/>
          <w:sz w:val="24"/>
          <w:szCs w:val="24"/>
        </w:rPr>
        <w:t xml:space="preserve"> popusta</w:t>
      </w:r>
      <w:r w:rsidR="008B41AB">
        <w:rPr>
          <w:rFonts w:ascii="Times New Roman" w:hAnsi="Times New Roman" w:cs="Times New Roman"/>
          <w:sz w:val="24"/>
          <w:szCs w:val="24"/>
        </w:rPr>
        <w:t xml:space="preserve"> za lijekove koje nam odobravaju </w:t>
      </w:r>
      <w:proofErr w:type="spellStart"/>
      <w:r w:rsidR="008B41AB">
        <w:rPr>
          <w:rFonts w:ascii="Times New Roman" w:hAnsi="Times New Roman" w:cs="Times New Roman"/>
          <w:sz w:val="24"/>
          <w:szCs w:val="24"/>
        </w:rPr>
        <w:t>veledrogerije</w:t>
      </w:r>
      <w:proofErr w:type="spellEnd"/>
      <w:r w:rsidR="00497C40">
        <w:rPr>
          <w:rFonts w:ascii="Times New Roman" w:hAnsi="Times New Roman" w:cs="Times New Roman"/>
          <w:sz w:val="24"/>
          <w:szCs w:val="24"/>
        </w:rPr>
        <w:t>.</w:t>
      </w:r>
    </w:p>
    <w:p w:rsidR="00214A53" w:rsidRDefault="00DC47CB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7C40">
        <w:rPr>
          <w:rFonts w:ascii="Times New Roman" w:hAnsi="Times New Roman" w:cs="Times New Roman"/>
          <w:sz w:val="24"/>
          <w:szCs w:val="24"/>
        </w:rPr>
        <w:t>N</w:t>
      </w:r>
      <w:r w:rsidR="00214A53" w:rsidRPr="00F87FC6">
        <w:rPr>
          <w:rFonts w:ascii="Times New Roman" w:hAnsi="Times New Roman" w:cs="Times New Roman"/>
          <w:b/>
          <w:sz w:val="24"/>
          <w:szCs w:val="24"/>
        </w:rPr>
        <w:t>a skupni prihoda 72</w:t>
      </w:r>
      <w:r w:rsidR="00214A53">
        <w:rPr>
          <w:rFonts w:ascii="Times New Roman" w:hAnsi="Times New Roman" w:cs="Times New Roman"/>
          <w:sz w:val="24"/>
          <w:szCs w:val="24"/>
        </w:rPr>
        <w:t xml:space="preserve"> Prihodi od prodaje nefinancijske imovine, planirani iznos koji se odnosi na prodaju stanova na izvoru financiranja 71 </w:t>
      </w:r>
      <w:r w:rsidR="00F87FC6">
        <w:rPr>
          <w:rFonts w:ascii="Times New Roman" w:hAnsi="Times New Roman" w:cs="Times New Roman"/>
          <w:sz w:val="24"/>
          <w:szCs w:val="24"/>
        </w:rPr>
        <w:t>ostvaren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735">
        <w:rPr>
          <w:rFonts w:ascii="Times New Roman" w:hAnsi="Times New Roman" w:cs="Times New Roman"/>
          <w:sz w:val="24"/>
          <w:szCs w:val="24"/>
        </w:rPr>
        <w:t xml:space="preserve">7,64 </w:t>
      </w:r>
      <w:r w:rsidR="00F87FC6">
        <w:rPr>
          <w:rFonts w:ascii="Times New Roman" w:hAnsi="Times New Roman" w:cs="Times New Roman"/>
          <w:sz w:val="24"/>
          <w:szCs w:val="24"/>
        </w:rPr>
        <w:t xml:space="preserve">% u </w:t>
      </w:r>
      <w:r>
        <w:rPr>
          <w:rFonts w:ascii="Times New Roman" w:hAnsi="Times New Roman" w:cs="Times New Roman"/>
          <w:sz w:val="24"/>
          <w:szCs w:val="24"/>
        </w:rPr>
        <w:t>2025. godini</w:t>
      </w:r>
      <w:r w:rsidR="00F87FC6">
        <w:rPr>
          <w:rFonts w:ascii="Times New Roman" w:hAnsi="Times New Roman" w:cs="Times New Roman"/>
          <w:sz w:val="24"/>
          <w:szCs w:val="24"/>
        </w:rPr>
        <w:t>.</w:t>
      </w:r>
    </w:p>
    <w:p w:rsidR="00214A53" w:rsidRDefault="00214A53" w:rsidP="002C67B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3F58" w:rsidRPr="00241E61" w:rsidRDefault="003D3F58" w:rsidP="002C67B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D5880" w:rsidRDefault="00F471E7" w:rsidP="00237AE5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00677" w:rsidRDefault="005D3C04" w:rsidP="00B555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495973">
        <w:rPr>
          <w:rFonts w:ascii="Times New Roman" w:hAnsi="Times New Roman" w:cs="Times New Roman"/>
          <w:sz w:val="24"/>
          <w:szCs w:val="24"/>
        </w:rPr>
        <w:t>u tekućem planu za 202</w:t>
      </w:r>
      <w:r w:rsidR="005E52D4">
        <w:rPr>
          <w:rFonts w:ascii="Times New Roman" w:hAnsi="Times New Roman" w:cs="Times New Roman"/>
          <w:sz w:val="24"/>
          <w:szCs w:val="24"/>
        </w:rPr>
        <w:t>5</w:t>
      </w:r>
      <w:r w:rsidR="00495973">
        <w:rPr>
          <w:rFonts w:ascii="Times New Roman" w:hAnsi="Times New Roman" w:cs="Times New Roman"/>
          <w:sz w:val="24"/>
          <w:szCs w:val="24"/>
        </w:rPr>
        <w:t xml:space="preserve">. godinu </w:t>
      </w:r>
      <w:r w:rsidR="00900677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5E52D4">
        <w:rPr>
          <w:rFonts w:ascii="Times New Roman" w:hAnsi="Times New Roman" w:cs="Times New Roman"/>
          <w:sz w:val="24"/>
          <w:szCs w:val="24"/>
        </w:rPr>
        <w:t>356.218.804</w:t>
      </w:r>
      <w:r w:rsidR="00495973">
        <w:rPr>
          <w:rFonts w:ascii="Times New Roman" w:hAnsi="Times New Roman" w:cs="Times New Roman"/>
          <w:sz w:val="24"/>
          <w:szCs w:val="24"/>
        </w:rPr>
        <w:t xml:space="preserve"> </w:t>
      </w:r>
      <w:r w:rsidR="00900677">
        <w:rPr>
          <w:rFonts w:ascii="Times New Roman" w:hAnsi="Times New Roman" w:cs="Times New Roman"/>
          <w:sz w:val="24"/>
          <w:szCs w:val="24"/>
        </w:rPr>
        <w:t>eura</w:t>
      </w:r>
      <w:r w:rsidR="00904F0B">
        <w:rPr>
          <w:rFonts w:ascii="Times New Roman" w:hAnsi="Times New Roman" w:cs="Times New Roman"/>
          <w:sz w:val="24"/>
          <w:szCs w:val="24"/>
        </w:rPr>
        <w:t>, a</w:t>
      </w:r>
      <w:r w:rsidR="002C67B0">
        <w:rPr>
          <w:rFonts w:ascii="Times New Roman" w:hAnsi="Times New Roman" w:cs="Times New Roman"/>
          <w:sz w:val="24"/>
          <w:szCs w:val="24"/>
        </w:rPr>
        <w:t xml:space="preserve"> izvršeni su</w:t>
      </w:r>
      <w:r w:rsidR="00495973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2C67B0">
        <w:rPr>
          <w:rFonts w:ascii="Times New Roman" w:hAnsi="Times New Roman" w:cs="Times New Roman"/>
          <w:sz w:val="24"/>
          <w:szCs w:val="24"/>
        </w:rPr>
        <w:t xml:space="preserve"> </w:t>
      </w:r>
      <w:r w:rsidR="005E52D4">
        <w:rPr>
          <w:rFonts w:ascii="Times New Roman" w:hAnsi="Times New Roman" w:cs="Times New Roman"/>
          <w:sz w:val="24"/>
          <w:szCs w:val="24"/>
        </w:rPr>
        <w:t>360.378.052,14</w:t>
      </w:r>
      <w:r w:rsidR="002C67B0">
        <w:rPr>
          <w:rFonts w:ascii="Times New Roman" w:hAnsi="Times New Roman" w:cs="Times New Roman"/>
          <w:sz w:val="24"/>
          <w:szCs w:val="24"/>
        </w:rPr>
        <w:t xml:space="preserve"> eura</w:t>
      </w:r>
      <w:r w:rsidR="00495973">
        <w:rPr>
          <w:rFonts w:ascii="Times New Roman" w:hAnsi="Times New Roman" w:cs="Times New Roman"/>
          <w:sz w:val="24"/>
          <w:szCs w:val="24"/>
        </w:rPr>
        <w:t xml:space="preserve"> ili</w:t>
      </w:r>
      <w:r w:rsidR="00900677">
        <w:rPr>
          <w:rFonts w:ascii="Times New Roman" w:hAnsi="Times New Roman" w:cs="Times New Roman"/>
          <w:sz w:val="24"/>
          <w:szCs w:val="24"/>
        </w:rPr>
        <w:t xml:space="preserve"> </w:t>
      </w:r>
      <w:r w:rsidR="005E52D4">
        <w:rPr>
          <w:rFonts w:ascii="Times New Roman" w:hAnsi="Times New Roman" w:cs="Times New Roman"/>
          <w:sz w:val="24"/>
          <w:szCs w:val="24"/>
        </w:rPr>
        <w:t>1,17</w:t>
      </w:r>
      <w:r w:rsidR="00495973" w:rsidRPr="00495973">
        <w:rPr>
          <w:rFonts w:ascii="Times New Roman" w:hAnsi="Times New Roman" w:cs="Times New Roman"/>
          <w:sz w:val="24"/>
          <w:szCs w:val="24"/>
        </w:rPr>
        <w:t xml:space="preserve"> </w:t>
      </w:r>
      <w:r w:rsidR="00495973">
        <w:rPr>
          <w:rFonts w:ascii="Times New Roman" w:hAnsi="Times New Roman" w:cs="Times New Roman"/>
          <w:sz w:val="24"/>
          <w:szCs w:val="24"/>
        </w:rPr>
        <w:t xml:space="preserve">% </w:t>
      </w:r>
      <w:r w:rsidR="005E52D4">
        <w:rPr>
          <w:rFonts w:ascii="Times New Roman" w:hAnsi="Times New Roman" w:cs="Times New Roman"/>
          <w:sz w:val="24"/>
          <w:szCs w:val="24"/>
        </w:rPr>
        <w:t>više.</w:t>
      </w:r>
    </w:p>
    <w:p w:rsidR="006331D9" w:rsidRDefault="00592595" w:rsidP="00B555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Pr="001B7ECF">
        <w:rPr>
          <w:rFonts w:ascii="Times New Roman" w:hAnsi="Times New Roman" w:cs="Times New Roman"/>
          <w:b/>
          <w:sz w:val="24"/>
          <w:szCs w:val="24"/>
        </w:rPr>
        <w:t>rashodima razreda 3</w:t>
      </w:r>
      <w:r>
        <w:rPr>
          <w:rFonts w:ascii="Times New Roman" w:hAnsi="Times New Roman" w:cs="Times New Roman"/>
          <w:sz w:val="24"/>
          <w:szCs w:val="24"/>
        </w:rPr>
        <w:t xml:space="preserve"> Rashodi poslovanja planiran je</w:t>
      </w:r>
      <w:r w:rsidR="008B41AB">
        <w:rPr>
          <w:rFonts w:ascii="Times New Roman" w:hAnsi="Times New Roman" w:cs="Times New Roman"/>
          <w:sz w:val="24"/>
          <w:szCs w:val="24"/>
        </w:rPr>
        <w:t xml:space="preserve"> iznos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D4">
        <w:rPr>
          <w:rFonts w:ascii="Times New Roman" w:hAnsi="Times New Roman" w:cs="Times New Roman"/>
          <w:sz w:val="24"/>
          <w:szCs w:val="24"/>
        </w:rPr>
        <w:t>328.555.191 euro</w:t>
      </w:r>
      <w:r>
        <w:rPr>
          <w:rFonts w:ascii="Times New Roman" w:hAnsi="Times New Roman" w:cs="Times New Roman"/>
          <w:sz w:val="24"/>
          <w:szCs w:val="24"/>
        </w:rPr>
        <w:t xml:space="preserve">, dok je </w:t>
      </w:r>
      <w:r w:rsidRPr="00B55530">
        <w:rPr>
          <w:rFonts w:ascii="Times New Roman" w:hAnsi="Times New Roman" w:cs="Times New Roman"/>
          <w:sz w:val="24"/>
          <w:szCs w:val="24"/>
        </w:rPr>
        <w:t xml:space="preserve">izvršeno </w:t>
      </w:r>
      <w:r w:rsidR="005E52D4">
        <w:rPr>
          <w:rFonts w:ascii="Times New Roman" w:hAnsi="Times New Roman" w:cs="Times New Roman"/>
          <w:sz w:val="24"/>
          <w:szCs w:val="24"/>
        </w:rPr>
        <w:t>330.295.937,10</w:t>
      </w:r>
      <w:r>
        <w:rPr>
          <w:rFonts w:ascii="Times New Roman" w:hAnsi="Times New Roman" w:cs="Times New Roman"/>
          <w:sz w:val="24"/>
          <w:szCs w:val="24"/>
        </w:rPr>
        <w:t xml:space="preserve"> eura ili 0,</w:t>
      </w:r>
      <w:r w:rsidR="00B55530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5E52D4">
        <w:rPr>
          <w:rFonts w:ascii="Times New Roman" w:hAnsi="Times New Roman" w:cs="Times New Roman"/>
          <w:sz w:val="24"/>
          <w:szCs w:val="24"/>
        </w:rPr>
        <w:t>više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5E52D4">
        <w:rPr>
          <w:rFonts w:ascii="Times New Roman" w:hAnsi="Times New Roman" w:cs="Times New Roman"/>
          <w:sz w:val="24"/>
          <w:szCs w:val="24"/>
        </w:rPr>
        <w:t>tekućeg plana</w:t>
      </w:r>
      <w:r>
        <w:rPr>
          <w:rFonts w:ascii="Times New Roman" w:hAnsi="Times New Roman" w:cs="Times New Roman"/>
          <w:sz w:val="24"/>
          <w:szCs w:val="24"/>
        </w:rPr>
        <w:t xml:space="preserve">. Najznačajniji su rashodi na skupini konta 31 Rashodi za zaposlene koji su </w:t>
      </w:r>
      <w:r w:rsidRPr="00B55530">
        <w:rPr>
          <w:rFonts w:ascii="Times New Roman" w:hAnsi="Times New Roman" w:cs="Times New Roman"/>
          <w:sz w:val="24"/>
          <w:szCs w:val="24"/>
        </w:rPr>
        <w:t xml:space="preserve">izvršeni </w:t>
      </w:r>
      <w:r w:rsidR="005E52D4">
        <w:rPr>
          <w:rFonts w:ascii="Times New Roman" w:hAnsi="Times New Roman" w:cs="Times New Roman"/>
          <w:sz w:val="24"/>
          <w:szCs w:val="24"/>
        </w:rPr>
        <w:t>98,32</w:t>
      </w:r>
      <w:r w:rsidRPr="00B55530">
        <w:rPr>
          <w:rFonts w:ascii="Times New Roman" w:hAnsi="Times New Roman" w:cs="Times New Roman"/>
          <w:sz w:val="24"/>
          <w:szCs w:val="24"/>
        </w:rPr>
        <w:t xml:space="preserve"> % </w:t>
      </w:r>
      <w:r w:rsidR="003D3F58">
        <w:rPr>
          <w:rFonts w:ascii="Times New Roman" w:hAnsi="Times New Roman" w:cs="Times New Roman"/>
          <w:sz w:val="24"/>
          <w:szCs w:val="24"/>
        </w:rPr>
        <w:t>planiranog iznosa za 2025. godinu.</w:t>
      </w:r>
      <w:r w:rsidRPr="00B55530">
        <w:rPr>
          <w:rFonts w:ascii="Times New Roman" w:hAnsi="Times New Roman" w:cs="Times New Roman"/>
          <w:sz w:val="24"/>
          <w:szCs w:val="24"/>
        </w:rPr>
        <w:t xml:space="preserve"> Najveći iznos planiran je kroz izvor financiranja 43 Ostali prihodi za posebne namjene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3D3F58">
        <w:rPr>
          <w:rFonts w:ascii="Times New Roman" w:hAnsi="Times New Roman" w:cs="Times New Roman"/>
          <w:sz w:val="24"/>
          <w:szCs w:val="24"/>
        </w:rPr>
        <w:t xml:space="preserve">najvećim se dijelom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3D3F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 isplatu plaća te pripadajućih doprinosa zaposlenim djelatnicima. Značajan iznos realiziran je i na skupini konta 32 Materijalni rashodi koji su izvršeni </w:t>
      </w:r>
      <w:r w:rsidR="005E52D4">
        <w:rPr>
          <w:rFonts w:ascii="Times New Roman" w:hAnsi="Times New Roman" w:cs="Times New Roman"/>
          <w:sz w:val="24"/>
          <w:szCs w:val="24"/>
        </w:rPr>
        <w:t>3,43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5E52D4">
        <w:rPr>
          <w:rFonts w:ascii="Times New Roman" w:hAnsi="Times New Roman" w:cs="Times New Roman"/>
          <w:sz w:val="24"/>
          <w:szCs w:val="24"/>
        </w:rPr>
        <w:t xml:space="preserve"> više</w:t>
      </w:r>
      <w:r w:rsidR="006331D9">
        <w:rPr>
          <w:rFonts w:ascii="Times New Roman" w:hAnsi="Times New Roman" w:cs="Times New Roman"/>
          <w:sz w:val="24"/>
          <w:szCs w:val="24"/>
        </w:rPr>
        <w:t xml:space="preserve"> u odnosu na planirana sredstva,</w:t>
      </w:r>
      <w:r w:rsidR="0026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navedeni su rashodi  direktno usmjereni na liječenje bolesnika, te najvećim dijelom obuhvaćaju nabavu lijekova, potrošnog medicinskog materijala, krvi i krvnih derivata, kao i tekuće i investicijsko održavanje medicinske opreme, komunalne usluge i slično.</w:t>
      </w:r>
    </w:p>
    <w:p w:rsidR="005E52D4" w:rsidRDefault="00592595" w:rsidP="00770E1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E14">
        <w:rPr>
          <w:rFonts w:ascii="Times New Roman" w:hAnsi="Times New Roman" w:cs="Times New Roman"/>
          <w:sz w:val="24"/>
          <w:szCs w:val="24"/>
        </w:rPr>
        <w:tab/>
      </w:r>
      <w:r w:rsidRPr="00241E61">
        <w:rPr>
          <w:rFonts w:ascii="Times New Roman" w:hAnsi="Times New Roman" w:cs="Times New Roman"/>
          <w:sz w:val="24"/>
          <w:szCs w:val="24"/>
        </w:rPr>
        <w:t xml:space="preserve">U </w:t>
      </w:r>
      <w:r w:rsidRPr="001B7ECF">
        <w:rPr>
          <w:rFonts w:ascii="Times New Roman" w:hAnsi="Times New Roman" w:cs="Times New Roman"/>
          <w:b/>
          <w:sz w:val="24"/>
          <w:szCs w:val="24"/>
        </w:rPr>
        <w:t>rashodima razreda 4</w:t>
      </w:r>
      <w:r w:rsidRPr="00241E61">
        <w:rPr>
          <w:rFonts w:ascii="Times New Roman" w:hAnsi="Times New Roman" w:cs="Times New Roman"/>
          <w:sz w:val="24"/>
          <w:szCs w:val="24"/>
        </w:rPr>
        <w:t xml:space="preserve"> Rashodi za nabavu nefinancijske imovine </w:t>
      </w:r>
      <w:r>
        <w:rPr>
          <w:rFonts w:ascii="Times New Roman" w:hAnsi="Times New Roman" w:cs="Times New Roman"/>
          <w:sz w:val="24"/>
          <w:szCs w:val="24"/>
        </w:rPr>
        <w:t xml:space="preserve">planirana sredstva </w:t>
      </w:r>
      <w:r w:rsidRPr="00B55530">
        <w:rPr>
          <w:rFonts w:ascii="Times New Roman" w:hAnsi="Times New Roman" w:cs="Times New Roman"/>
          <w:sz w:val="24"/>
          <w:szCs w:val="24"/>
        </w:rPr>
        <w:t xml:space="preserve">ostvarena su </w:t>
      </w:r>
      <w:r w:rsidR="005E52D4">
        <w:rPr>
          <w:rFonts w:ascii="Times New Roman" w:hAnsi="Times New Roman" w:cs="Times New Roman"/>
          <w:sz w:val="24"/>
          <w:szCs w:val="24"/>
        </w:rPr>
        <w:t>8,74</w:t>
      </w:r>
      <w:r w:rsidRPr="00B55530">
        <w:rPr>
          <w:rFonts w:ascii="Times New Roman" w:hAnsi="Times New Roman" w:cs="Times New Roman"/>
          <w:sz w:val="24"/>
          <w:szCs w:val="24"/>
        </w:rPr>
        <w:t xml:space="preserve"> % </w:t>
      </w:r>
      <w:r w:rsidR="005E52D4">
        <w:rPr>
          <w:rFonts w:ascii="Times New Roman" w:hAnsi="Times New Roman" w:cs="Times New Roman"/>
          <w:sz w:val="24"/>
          <w:szCs w:val="24"/>
        </w:rPr>
        <w:t xml:space="preserve">više </w:t>
      </w:r>
      <w:r w:rsidRPr="00B555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to najvećim dijelom </w:t>
      </w:r>
      <w:r w:rsidRPr="001B7ECF">
        <w:rPr>
          <w:rFonts w:ascii="Times New Roman" w:hAnsi="Times New Roman" w:cs="Times New Roman"/>
          <w:sz w:val="24"/>
          <w:szCs w:val="24"/>
        </w:rPr>
        <w:t>na skupini konta 45</w:t>
      </w:r>
      <w:r w:rsidRPr="00241E61">
        <w:rPr>
          <w:rFonts w:ascii="Times New Roman" w:hAnsi="Times New Roman" w:cs="Times New Roman"/>
          <w:sz w:val="24"/>
          <w:szCs w:val="24"/>
        </w:rPr>
        <w:t xml:space="preserve"> Rashodi za dodatna ula</w:t>
      </w:r>
      <w:r w:rsidR="006331D9">
        <w:rPr>
          <w:rFonts w:ascii="Times New Roman" w:hAnsi="Times New Roman" w:cs="Times New Roman"/>
          <w:sz w:val="24"/>
          <w:szCs w:val="24"/>
        </w:rPr>
        <w:t>ganja na</w:t>
      </w:r>
      <w:r w:rsidR="00267A93">
        <w:rPr>
          <w:rFonts w:ascii="Times New Roman" w:hAnsi="Times New Roman" w:cs="Times New Roman"/>
          <w:sz w:val="24"/>
          <w:szCs w:val="24"/>
        </w:rPr>
        <w:t xml:space="preserve"> </w:t>
      </w:r>
      <w:r w:rsidR="006331D9">
        <w:rPr>
          <w:rFonts w:ascii="Times New Roman" w:hAnsi="Times New Roman" w:cs="Times New Roman"/>
          <w:sz w:val="24"/>
          <w:szCs w:val="24"/>
        </w:rPr>
        <w:t xml:space="preserve">nefinancijskoj imovini, a odnose se na obnovu zgrada oštećenih potresom, odnosno financiraju se </w:t>
      </w:r>
      <w:r w:rsidR="00267A93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 izvor</w:t>
      </w:r>
      <w:r w:rsidR="00267A9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6F4E7A">
        <w:rPr>
          <w:rFonts w:ascii="Times New Roman" w:hAnsi="Times New Roman" w:cs="Times New Roman"/>
          <w:sz w:val="24"/>
          <w:szCs w:val="24"/>
        </w:rPr>
        <w:t xml:space="preserve"> 11 Opći prihodi i primici (prebačena sredstva </w:t>
      </w:r>
      <w:r w:rsidR="00833ECF">
        <w:rPr>
          <w:rFonts w:ascii="Times New Roman" w:hAnsi="Times New Roman" w:cs="Times New Roman"/>
          <w:sz w:val="24"/>
          <w:szCs w:val="24"/>
        </w:rPr>
        <w:t>koja su ostala neutrošena</w:t>
      </w:r>
      <w:r w:rsidR="006F4E7A">
        <w:rPr>
          <w:rFonts w:ascii="Times New Roman" w:hAnsi="Times New Roman" w:cs="Times New Roman"/>
          <w:sz w:val="24"/>
          <w:szCs w:val="24"/>
        </w:rPr>
        <w:t xml:space="preserve"> 30. lipnja 2023. godine iz F</w:t>
      </w:r>
      <w:r w:rsidR="00770E14">
        <w:rPr>
          <w:rFonts w:ascii="Times New Roman" w:hAnsi="Times New Roman" w:cs="Times New Roman"/>
          <w:sz w:val="24"/>
          <w:szCs w:val="24"/>
        </w:rPr>
        <w:t>onda solidarnosti Europske unije,</w:t>
      </w:r>
      <w:r w:rsidR="00C30EE3">
        <w:rPr>
          <w:rFonts w:ascii="Times New Roman" w:hAnsi="Times New Roman" w:cs="Times New Roman"/>
          <w:sz w:val="24"/>
          <w:szCs w:val="24"/>
        </w:rPr>
        <w:t xml:space="preserve"> te provedba Odluke Vlade RH o sufinanciranju vlastitog učešća Korisnika </w:t>
      </w:r>
      <w:r w:rsidR="00C30EE3" w:rsidRPr="00C30EE3">
        <w:rPr>
          <w:rFonts w:ascii="Times New Roman" w:hAnsi="Times New Roman" w:cs="Times New Roman"/>
          <w:sz w:val="24"/>
          <w:szCs w:val="24"/>
        </w:rPr>
        <w:t>bespo</w:t>
      </w:r>
      <w:r w:rsidR="00770E14">
        <w:rPr>
          <w:rFonts w:ascii="Times New Roman" w:hAnsi="Times New Roman" w:cs="Times New Roman"/>
          <w:sz w:val="24"/>
          <w:szCs w:val="24"/>
        </w:rPr>
        <w:t>vra</w:t>
      </w:r>
      <w:r w:rsidR="00C30EE3" w:rsidRPr="00C30EE3">
        <w:rPr>
          <w:rFonts w:ascii="Times New Roman" w:hAnsi="Times New Roman" w:cs="Times New Roman"/>
          <w:sz w:val="24"/>
          <w:szCs w:val="24"/>
        </w:rPr>
        <w:t>tnih financijskih</w:t>
      </w:r>
      <w:r w:rsidR="00770E14">
        <w:rPr>
          <w:rFonts w:ascii="Times New Roman" w:hAnsi="Times New Roman" w:cs="Times New Roman"/>
          <w:sz w:val="24"/>
          <w:szCs w:val="24"/>
        </w:rPr>
        <w:t xml:space="preserve"> </w:t>
      </w:r>
      <w:r w:rsidR="00C30EE3" w:rsidRPr="00C30EE3">
        <w:rPr>
          <w:rFonts w:ascii="Times New Roman" w:hAnsi="Times New Roman" w:cs="Times New Roman"/>
          <w:sz w:val="24"/>
          <w:szCs w:val="24"/>
        </w:rPr>
        <w:t>sredstava projekta konstr</w:t>
      </w:r>
      <w:r w:rsidR="00770E14">
        <w:rPr>
          <w:rFonts w:ascii="Times New Roman" w:hAnsi="Times New Roman" w:cs="Times New Roman"/>
          <w:sz w:val="24"/>
          <w:szCs w:val="24"/>
        </w:rPr>
        <w:t>u</w:t>
      </w:r>
      <w:r w:rsidR="00C30EE3" w:rsidRPr="00C30EE3">
        <w:rPr>
          <w:rFonts w:ascii="Times New Roman" w:hAnsi="Times New Roman" w:cs="Times New Roman"/>
          <w:sz w:val="24"/>
          <w:szCs w:val="24"/>
        </w:rPr>
        <w:t>kcijske i cjelovite obnove zapo</w:t>
      </w:r>
      <w:r w:rsidR="00770E14">
        <w:rPr>
          <w:rFonts w:ascii="Times New Roman" w:hAnsi="Times New Roman" w:cs="Times New Roman"/>
          <w:sz w:val="24"/>
          <w:szCs w:val="24"/>
        </w:rPr>
        <w:t>č</w:t>
      </w:r>
      <w:r w:rsidR="00C30EE3" w:rsidRPr="00C30EE3">
        <w:rPr>
          <w:rFonts w:ascii="Times New Roman" w:hAnsi="Times New Roman" w:cs="Times New Roman"/>
          <w:sz w:val="24"/>
          <w:szCs w:val="24"/>
        </w:rPr>
        <w:t xml:space="preserve">ete u okviru Fonda </w:t>
      </w:r>
      <w:proofErr w:type="spellStart"/>
      <w:r w:rsidR="00C30EE3" w:rsidRPr="00C30EE3">
        <w:rPr>
          <w:rFonts w:ascii="Times New Roman" w:hAnsi="Times New Roman" w:cs="Times New Roman"/>
          <w:sz w:val="24"/>
          <w:szCs w:val="24"/>
        </w:rPr>
        <w:t>solidamosti</w:t>
      </w:r>
      <w:proofErr w:type="spellEnd"/>
      <w:r w:rsidR="00770E14">
        <w:rPr>
          <w:rFonts w:ascii="Times New Roman" w:hAnsi="Times New Roman" w:cs="Times New Roman"/>
          <w:sz w:val="24"/>
          <w:szCs w:val="24"/>
        </w:rPr>
        <w:t xml:space="preserve"> </w:t>
      </w:r>
      <w:r w:rsidR="00C30EE3" w:rsidRPr="00770E14">
        <w:rPr>
          <w:rFonts w:ascii="Times New Roman" w:hAnsi="Times New Roman" w:cs="Times New Roman"/>
          <w:sz w:val="24"/>
          <w:szCs w:val="24"/>
        </w:rPr>
        <w:t xml:space="preserve">Europske </w:t>
      </w:r>
      <w:r w:rsidR="00770E14">
        <w:rPr>
          <w:rFonts w:ascii="Times New Roman" w:hAnsi="Times New Roman" w:cs="Times New Roman"/>
          <w:sz w:val="24"/>
          <w:szCs w:val="24"/>
        </w:rPr>
        <w:t>u</w:t>
      </w:r>
      <w:r w:rsidR="00C30EE3" w:rsidRPr="00770E14">
        <w:rPr>
          <w:rFonts w:ascii="Times New Roman" w:hAnsi="Times New Roman" w:cs="Times New Roman"/>
          <w:sz w:val="24"/>
          <w:szCs w:val="24"/>
        </w:rPr>
        <w:t xml:space="preserve">nije </w:t>
      </w:r>
      <w:r w:rsidR="00770E14">
        <w:rPr>
          <w:rFonts w:ascii="Times New Roman" w:hAnsi="Times New Roman" w:cs="Times New Roman"/>
          <w:sz w:val="24"/>
          <w:szCs w:val="24"/>
        </w:rPr>
        <w:t>sredstvima Drž</w:t>
      </w:r>
      <w:r w:rsidR="00C30EE3" w:rsidRPr="00770E14">
        <w:rPr>
          <w:rFonts w:ascii="Times New Roman" w:hAnsi="Times New Roman" w:cs="Times New Roman"/>
          <w:sz w:val="24"/>
          <w:szCs w:val="24"/>
        </w:rPr>
        <w:t>avnog prora</w:t>
      </w:r>
      <w:r w:rsidR="00770E14">
        <w:rPr>
          <w:rFonts w:ascii="Times New Roman" w:hAnsi="Times New Roman" w:cs="Times New Roman"/>
          <w:sz w:val="24"/>
          <w:szCs w:val="24"/>
        </w:rPr>
        <w:t>č</w:t>
      </w:r>
      <w:r w:rsidR="00C30EE3" w:rsidRPr="00770E14">
        <w:rPr>
          <w:rFonts w:ascii="Times New Roman" w:hAnsi="Times New Roman" w:cs="Times New Roman"/>
          <w:sz w:val="24"/>
          <w:szCs w:val="24"/>
        </w:rPr>
        <w:t>una</w:t>
      </w:r>
      <w:r w:rsidR="00833ECF">
        <w:rPr>
          <w:rFonts w:ascii="Times New Roman" w:hAnsi="Times New Roman" w:cs="Times New Roman"/>
          <w:sz w:val="24"/>
          <w:szCs w:val="24"/>
        </w:rPr>
        <w:t xml:space="preserve">) i </w:t>
      </w:r>
      <w:r w:rsidR="006331D9">
        <w:rPr>
          <w:rFonts w:ascii="Times New Roman" w:hAnsi="Times New Roman" w:cs="Times New Roman"/>
          <w:sz w:val="24"/>
          <w:szCs w:val="24"/>
        </w:rPr>
        <w:t>815 Namjenski primitak - NPOO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4E7A">
        <w:rPr>
          <w:rFonts w:ascii="Times New Roman" w:hAnsi="Times New Roman" w:cs="Times New Roman"/>
          <w:sz w:val="24"/>
          <w:szCs w:val="24"/>
        </w:rPr>
        <w:t xml:space="preserve"> Na skupini konta 42 Rashodi za nabavu </w:t>
      </w:r>
      <w:proofErr w:type="spellStart"/>
      <w:r w:rsidR="005E52D4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="006F4E7A">
        <w:rPr>
          <w:rFonts w:ascii="Times New Roman" w:hAnsi="Times New Roman" w:cs="Times New Roman"/>
          <w:sz w:val="24"/>
          <w:szCs w:val="24"/>
        </w:rPr>
        <w:t xml:space="preserve"> dugotrajne imovine, najveći dio odnosi se na</w:t>
      </w:r>
      <w:r w:rsidR="005E52D4">
        <w:rPr>
          <w:rFonts w:ascii="Times New Roman" w:hAnsi="Times New Roman" w:cs="Times New Roman"/>
          <w:sz w:val="24"/>
          <w:szCs w:val="24"/>
        </w:rPr>
        <w:t xml:space="preserve"> nabavku medic</w:t>
      </w:r>
      <w:r w:rsidR="00DD2512">
        <w:rPr>
          <w:rFonts w:ascii="Times New Roman" w:hAnsi="Times New Roman" w:cs="Times New Roman"/>
          <w:sz w:val="24"/>
          <w:szCs w:val="24"/>
        </w:rPr>
        <w:t>in</w:t>
      </w:r>
      <w:r w:rsidR="005E52D4">
        <w:rPr>
          <w:rFonts w:ascii="Times New Roman" w:hAnsi="Times New Roman" w:cs="Times New Roman"/>
          <w:sz w:val="24"/>
          <w:szCs w:val="24"/>
        </w:rPr>
        <w:t>ske</w:t>
      </w:r>
      <w:r w:rsidR="00DD2512">
        <w:rPr>
          <w:rFonts w:ascii="Times New Roman" w:hAnsi="Times New Roman" w:cs="Times New Roman"/>
          <w:sz w:val="24"/>
          <w:szCs w:val="24"/>
        </w:rPr>
        <w:t xml:space="preserve"> i laboratorijske opreme, uredske opreme i namještaja te opreme za održavanje i zaštitu na izvoru financiranja </w:t>
      </w:r>
      <w:r w:rsidR="00267A93">
        <w:rPr>
          <w:rFonts w:ascii="Times New Roman" w:hAnsi="Times New Roman" w:cs="Times New Roman"/>
          <w:sz w:val="24"/>
          <w:szCs w:val="24"/>
        </w:rPr>
        <w:t>11</w:t>
      </w:r>
      <w:r w:rsidR="00DD2512">
        <w:rPr>
          <w:rFonts w:ascii="Times New Roman" w:hAnsi="Times New Roman" w:cs="Times New Roman"/>
          <w:sz w:val="24"/>
          <w:szCs w:val="24"/>
        </w:rPr>
        <w:t xml:space="preserve"> Opći prihodi i primici i izvoru financiranja 31 Vlastiti prihodi.</w:t>
      </w:r>
    </w:p>
    <w:p w:rsidR="00DD2512" w:rsidRDefault="00DD2512" w:rsidP="00770E1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614" w:rsidRDefault="00904F0B" w:rsidP="00F426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3.1.2. OBRAZLOŽENJE 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>PRIJENOS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 xml:space="preserve"> SREDSTAVA IZ PRETHODNE </w:t>
      </w:r>
      <w:r w:rsidR="00DC5398">
        <w:rPr>
          <w:rFonts w:ascii="Times New Roman" w:hAnsi="Times New Roman" w:cs="Times New Roman"/>
          <w:b/>
          <w:sz w:val="24"/>
          <w:szCs w:val="24"/>
        </w:rPr>
        <w:t xml:space="preserve">GODINE I </w:t>
      </w:r>
    </w:p>
    <w:p w:rsidR="00F471E7" w:rsidRPr="00706173" w:rsidRDefault="00F42614" w:rsidP="00F426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C5398">
        <w:rPr>
          <w:rFonts w:ascii="Times New Roman" w:hAnsi="Times New Roman" w:cs="Times New Roman"/>
          <w:b/>
          <w:sz w:val="24"/>
          <w:szCs w:val="24"/>
        </w:rPr>
        <w:t xml:space="preserve">PRIJENOSA SREDSTAVA 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>U SL</w:t>
      </w:r>
      <w:r w:rsidR="00DC5398">
        <w:rPr>
          <w:rFonts w:ascii="Times New Roman" w:hAnsi="Times New Roman" w:cs="Times New Roman"/>
          <w:b/>
          <w:sz w:val="24"/>
          <w:szCs w:val="24"/>
        </w:rPr>
        <w:t>I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>JEDEĆU GODINU</w:t>
      </w:r>
    </w:p>
    <w:p w:rsidR="00706173" w:rsidRPr="007C2A64" w:rsidRDefault="00C530E0" w:rsidP="008551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ab/>
      </w:r>
      <w:r w:rsidR="00706173" w:rsidRPr="00241E61">
        <w:rPr>
          <w:rFonts w:ascii="Times New Roman" w:hAnsi="Times New Roman" w:cs="Times New Roman"/>
          <w:sz w:val="24"/>
          <w:szCs w:val="24"/>
        </w:rPr>
        <w:t>U 202</w:t>
      </w:r>
      <w:r w:rsidR="00984ED7">
        <w:rPr>
          <w:rFonts w:ascii="Times New Roman" w:hAnsi="Times New Roman" w:cs="Times New Roman"/>
          <w:sz w:val="24"/>
          <w:szCs w:val="24"/>
        </w:rPr>
        <w:t>5</w:t>
      </w:r>
      <w:r w:rsidR="00720162">
        <w:rPr>
          <w:rFonts w:ascii="Times New Roman" w:hAnsi="Times New Roman" w:cs="Times New Roman"/>
          <w:sz w:val="24"/>
          <w:szCs w:val="24"/>
        </w:rPr>
        <w:t>. godinu</w:t>
      </w:r>
      <w:r w:rsidR="004F3CFF">
        <w:rPr>
          <w:rFonts w:ascii="Times New Roman" w:hAnsi="Times New Roman" w:cs="Times New Roman"/>
          <w:sz w:val="24"/>
          <w:szCs w:val="24"/>
        </w:rPr>
        <w:t xml:space="preserve"> na v</w:t>
      </w:r>
      <w:r w:rsidR="00706173" w:rsidRPr="00241E61">
        <w:rPr>
          <w:rFonts w:ascii="Times New Roman" w:hAnsi="Times New Roman" w:cs="Times New Roman"/>
          <w:sz w:val="24"/>
          <w:szCs w:val="24"/>
        </w:rPr>
        <w:t xml:space="preserve">lastitim prihodima </w:t>
      </w:r>
      <w:r w:rsidR="004F3CFF">
        <w:rPr>
          <w:rFonts w:ascii="Times New Roman" w:hAnsi="Times New Roman" w:cs="Times New Roman"/>
          <w:sz w:val="24"/>
          <w:szCs w:val="24"/>
        </w:rPr>
        <w:t>(izvor financiranja</w:t>
      </w:r>
      <w:r w:rsidR="00706173" w:rsidRPr="00241E61">
        <w:rPr>
          <w:rFonts w:ascii="Times New Roman" w:hAnsi="Times New Roman" w:cs="Times New Roman"/>
          <w:sz w:val="24"/>
          <w:szCs w:val="24"/>
        </w:rPr>
        <w:t xml:space="preserve"> 31) </w:t>
      </w:r>
      <w:r w:rsidR="00720162">
        <w:rPr>
          <w:rFonts w:ascii="Times New Roman" w:hAnsi="Times New Roman" w:cs="Times New Roman"/>
          <w:sz w:val="24"/>
          <w:szCs w:val="24"/>
        </w:rPr>
        <w:t>prenesen je iznos od</w:t>
      </w:r>
      <w:r w:rsidR="00706173"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984ED7">
        <w:rPr>
          <w:rFonts w:ascii="Times New Roman" w:hAnsi="Times New Roman" w:cs="Times New Roman"/>
          <w:sz w:val="24"/>
          <w:szCs w:val="24"/>
        </w:rPr>
        <w:t>38.741</w:t>
      </w:r>
      <w:r w:rsidR="001F64D7">
        <w:rPr>
          <w:rFonts w:ascii="Times New Roman" w:hAnsi="Times New Roman" w:cs="Times New Roman"/>
          <w:sz w:val="24"/>
          <w:szCs w:val="24"/>
        </w:rPr>
        <w:t>,44</w:t>
      </w:r>
      <w:r w:rsidR="00992389">
        <w:rPr>
          <w:rFonts w:ascii="Times New Roman" w:hAnsi="Times New Roman" w:cs="Times New Roman"/>
          <w:sz w:val="24"/>
          <w:szCs w:val="24"/>
        </w:rPr>
        <w:t xml:space="preserve"> </w:t>
      </w:r>
      <w:r w:rsidR="00706173" w:rsidRPr="0027082A">
        <w:rPr>
          <w:rFonts w:ascii="Times New Roman" w:hAnsi="Times New Roman" w:cs="Times New Roman"/>
          <w:sz w:val="24"/>
          <w:szCs w:val="24"/>
        </w:rPr>
        <w:t>eur</w:t>
      </w:r>
      <w:r w:rsidR="001F64D7">
        <w:rPr>
          <w:rFonts w:ascii="Times New Roman" w:hAnsi="Times New Roman" w:cs="Times New Roman"/>
          <w:sz w:val="24"/>
          <w:szCs w:val="24"/>
        </w:rPr>
        <w:t>a</w:t>
      </w:r>
      <w:r w:rsidR="00720162">
        <w:rPr>
          <w:rFonts w:ascii="Times New Roman" w:hAnsi="Times New Roman" w:cs="Times New Roman"/>
          <w:sz w:val="24"/>
          <w:szCs w:val="24"/>
        </w:rPr>
        <w:t xml:space="preserve"> koji je </w:t>
      </w:r>
      <w:r w:rsidR="00706173" w:rsidRPr="0027082A">
        <w:rPr>
          <w:rFonts w:ascii="Times New Roman" w:hAnsi="Times New Roman" w:cs="Times New Roman"/>
          <w:sz w:val="24"/>
          <w:szCs w:val="24"/>
        </w:rPr>
        <w:t>utrošen</w:t>
      </w:r>
      <w:r w:rsidR="00294F95">
        <w:rPr>
          <w:rFonts w:ascii="Times New Roman" w:hAnsi="Times New Roman" w:cs="Times New Roman"/>
          <w:sz w:val="24"/>
          <w:szCs w:val="24"/>
        </w:rPr>
        <w:t xml:space="preserve"> u cijelosti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</w:t>
      </w:r>
      <w:r w:rsidR="00C64D50" w:rsidRPr="0027082A">
        <w:rPr>
          <w:rFonts w:ascii="Times New Roman" w:hAnsi="Times New Roman" w:cs="Times New Roman"/>
          <w:sz w:val="24"/>
          <w:szCs w:val="24"/>
        </w:rPr>
        <w:t>za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</w:t>
      </w:r>
      <w:r w:rsidR="002C26E9" w:rsidRPr="0008327F">
        <w:rPr>
          <w:rFonts w:ascii="Times New Roman" w:hAnsi="Times New Roman" w:cs="Times New Roman"/>
          <w:sz w:val="24"/>
          <w:szCs w:val="24"/>
        </w:rPr>
        <w:t>isplate timovima ko</w:t>
      </w:r>
      <w:r w:rsidR="00CA55A8" w:rsidRPr="0008327F">
        <w:rPr>
          <w:rFonts w:ascii="Times New Roman" w:hAnsi="Times New Roman" w:cs="Times New Roman"/>
          <w:sz w:val="24"/>
          <w:szCs w:val="24"/>
        </w:rPr>
        <w:t xml:space="preserve">ji provode klinička ispitivanja. </w:t>
      </w:r>
      <w:r w:rsidR="0036113F" w:rsidRPr="0008327F">
        <w:rPr>
          <w:rFonts w:ascii="Times New Roman" w:hAnsi="Times New Roman" w:cs="Times New Roman"/>
          <w:sz w:val="24"/>
          <w:szCs w:val="24"/>
        </w:rPr>
        <w:t>Na</w:t>
      </w:r>
      <w:r w:rsidR="0036113F">
        <w:rPr>
          <w:rFonts w:ascii="Times New Roman" w:hAnsi="Times New Roman" w:cs="Times New Roman"/>
          <w:sz w:val="24"/>
          <w:szCs w:val="24"/>
        </w:rPr>
        <w:t xml:space="preserve"> kraju 202</w:t>
      </w:r>
      <w:r w:rsidR="00992389">
        <w:rPr>
          <w:rFonts w:ascii="Times New Roman" w:hAnsi="Times New Roman" w:cs="Times New Roman"/>
          <w:sz w:val="24"/>
          <w:szCs w:val="24"/>
        </w:rPr>
        <w:t>5</w:t>
      </w:r>
      <w:r w:rsidR="0036113F">
        <w:rPr>
          <w:rFonts w:ascii="Times New Roman" w:hAnsi="Times New Roman" w:cs="Times New Roman"/>
          <w:sz w:val="24"/>
          <w:szCs w:val="24"/>
        </w:rPr>
        <w:t xml:space="preserve">. godine na navedenom izvoru financiranja ostao je neutrošen iznos od </w:t>
      </w:r>
      <w:r w:rsidR="00992389">
        <w:rPr>
          <w:rFonts w:ascii="Times New Roman" w:hAnsi="Times New Roman" w:cs="Times New Roman"/>
          <w:sz w:val="24"/>
          <w:szCs w:val="24"/>
        </w:rPr>
        <w:t>156.252,91</w:t>
      </w:r>
      <w:r w:rsidR="0036113F">
        <w:rPr>
          <w:rFonts w:ascii="Times New Roman" w:hAnsi="Times New Roman" w:cs="Times New Roman"/>
          <w:sz w:val="24"/>
          <w:szCs w:val="24"/>
        </w:rPr>
        <w:t xml:space="preserve"> eur</w:t>
      </w:r>
      <w:r w:rsidR="00992389">
        <w:rPr>
          <w:rFonts w:ascii="Times New Roman" w:hAnsi="Times New Roman" w:cs="Times New Roman"/>
          <w:sz w:val="24"/>
          <w:szCs w:val="24"/>
        </w:rPr>
        <w:t>o</w:t>
      </w:r>
      <w:r w:rsidR="0036113F">
        <w:rPr>
          <w:rFonts w:ascii="Times New Roman" w:hAnsi="Times New Roman" w:cs="Times New Roman"/>
          <w:sz w:val="24"/>
          <w:szCs w:val="24"/>
        </w:rPr>
        <w:t xml:space="preserve"> najvećim dijelom </w:t>
      </w:r>
      <w:proofErr w:type="spellStart"/>
      <w:r w:rsidR="0036113F">
        <w:rPr>
          <w:rFonts w:ascii="Times New Roman" w:hAnsi="Times New Roman" w:cs="Times New Roman"/>
          <w:sz w:val="24"/>
          <w:szCs w:val="24"/>
        </w:rPr>
        <w:t>oprihodovan</w:t>
      </w:r>
      <w:proofErr w:type="spellEnd"/>
      <w:r w:rsidR="0036113F">
        <w:rPr>
          <w:rFonts w:ascii="Times New Roman" w:hAnsi="Times New Roman" w:cs="Times New Roman"/>
          <w:sz w:val="24"/>
          <w:szCs w:val="24"/>
        </w:rPr>
        <w:t xml:space="preserve"> od</w:t>
      </w:r>
      <w:r w:rsidR="0008327F">
        <w:rPr>
          <w:rFonts w:ascii="Times New Roman" w:hAnsi="Times New Roman" w:cs="Times New Roman"/>
          <w:sz w:val="24"/>
          <w:szCs w:val="24"/>
        </w:rPr>
        <w:t xml:space="preserve"> primljenog predujma za projekt ATTRACT ADRIA iz programa </w:t>
      </w:r>
      <w:proofErr w:type="spellStart"/>
      <w:r w:rsidR="0008327F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="0008327F">
        <w:rPr>
          <w:rFonts w:ascii="Times New Roman" w:hAnsi="Times New Roman" w:cs="Times New Roman"/>
          <w:sz w:val="24"/>
          <w:szCs w:val="24"/>
        </w:rPr>
        <w:t xml:space="preserve"> Europe te </w:t>
      </w:r>
      <w:r w:rsidR="0036113F" w:rsidRPr="0008327F">
        <w:rPr>
          <w:rFonts w:ascii="Times New Roman" w:hAnsi="Times New Roman" w:cs="Times New Roman"/>
          <w:sz w:val="24"/>
          <w:szCs w:val="24"/>
        </w:rPr>
        <w:t>provođenja kliničkih ispitivanja,</w:t>
      </w:r>
      <w:r w:rsidR="0036113F">
        <w:rPr>
          <w:rFonts w:ascii="Times New Roman" w:hAnsi="Times New Roman" w:cs="Times New Roman"/>
          <w:sz w:val="24"/>
          <w:szCs w:val="24"/>
        </w:rPr>
        <w:t xml:space="preserve"> a bit će utrošen 202</w:t>
      </w:r>
      <w:r w:rsidR="00992389">
        <w:rPr>
          <w:rFonts w:ascii="Times New Roman" w:hAnsi="Times New Roman" w:cs="Times New Roman"/>
          <w:sz w:val="24"/>
          <w:szCs w:val="24"/>
        </w:rPr>
        <w:t>6</w:t>
      </w:r>
      <w:r w:rsidR="0036113F">
        <w:rPr>
          <w:rFonts w:ascii="Times New Roman" w:hAnsi="Times New Roman" w:cs="Times New Roman"/>
          <w:sz w:val="24"/>
          <w:szCs w:val="24"/>
        </w:rPr>
        <w:t xml:space="preserve">. godine za </w:t>
      </w:r>
      <w:r w:rsidR="0008327F">
        <w:rPr>
          <w:rFonts w:ascii="Times New Roman" w:hAnsi="Times New Roman" w:cs="Times New Roman"/>
          <w:sz w:val="24"/>
          <w:szCs w:val="24"/>
        </w:rPr>
        <w:t xml:space="preserve">podmirenje troškova navedenog projekta te </w:t>
      </w:r>
      <w:r w:rsidR="0036113F">
        <w:rPr>
          <w:rFonts w:ascii="Times New Roman" w:hAnsi="Times New Roman" w:cs="Times New Roman"/>
          <w:sz w:val="24"/>
          <w:szCs w:val="24"/>
        </w:rPr>
        <w:t>isplate timovima koji provode klinička ispitivanja i za hitne nabavke dugotrajne imovine.</w:t>
      </w:r>
    </w:p>
    <w:p w:rsidR="009C7BF1" w:rsidRDefault="00706173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64">
        <w:rPr>
          <w:rFonts w:ascii="Times New Roman" w:hAnsi="Times New Roman" w:cs="Times New Roman"/>
          <w:sz w:val="24"/>
          <w:szCs w:val="24"/>
        </w:rPr>
        <w:tab/>
        <w:t xml:space="preserve">Na </w:t>
      </w:r>
      <w:r w:rsidR="004F3CFF" w:rsidRPr="007C2A64">
        <w:rPr>
          <w:rFonts w:ascii="Times New Roman" w:hAnsi="Times New Roman" w:cs="Times New Roman"/>
          <w:sz w:val="24"/>
          <w:szCs w:val="24"/>
        </w:rPr>
        <w:t xml:space="preserve">ostalim </w:t>
      </w:r>
      <w:r w:rsidRPr="007C2A64">
        <w:rPr>
          <w:rFonts w:ascii="Times New Roman" w:hAnsi="Times New Roman" w:cs="Times New Roman"/>
          <w:sz w:val="24"/>
          <w:szCs w:val="24"/>
        </w:rPr>
        <w:t>prihodima za posebne namjene (</w:t>
      </w:r>
      <w:r w:rsidR="004F3CFF" w:rsidRPr="007C2A64">
        <w:rPr>
          <w:rFonts w:ascii="Times New Roman" w:hAnsi="Times New Roman" w:cs="Times New Roman"/>
          <w:sz w:val="24"/>
          <w:szCs w:val="24"/>
        </w:rPr>
        <w:t>izvor financiranja</w:t>
      </w:r>
      <w:r w:rsidRPr="007C2A64">
        <w:rPr>
          <w:rFonts w:ascii="Times New Roman" w:hAnsi="Times New Roman" w:cs="Times New Roman"/>
          <w:sz w:val="24"/>
          <w:szCs w:val="24"/>
        </w:rPr>
        <w:t xml:space="preserve"> 43) </w:t>
      </w:r>
      <w:r w:rsidR="007676EC">
        <w:rPr>
          <w:rFonts w:ascii="Times New Roman" w:hAnsi="Times New Roman" w:cs="Times New Roman"/>
          <w:sz w:val="24"/>
          <w:szCs w:val="24"/>
        </w:rPr>
        <w:t xml:space="preserve">cjelokupni iznos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984ED7">
        <w:rPr>
          <w:rFonts w:ascii="Times New Roman" w:hAnsi="Times New Roman" w:cs="Times New Roman"/>
          <w:sz w:val="24"/>
          <w:szCs w:val="24"/>
        </w:rPr>
        <w:t>943.310</w:t>
      </w:r>
      <w:r w:rsidR="00AF079F">
        <w:rPr>
          <w:rFonts w:ascii="Times New Roman" w:hAnsi="Times New Roman" w:cs="Times New Roman"/>
          <w:sz w:val="24"/>
          <w:szCs w:val="24"/>
        </w:rPr>
        <w:t xml:space="preserve"> eur</w:t>
      </w:r>
      <w:r w:rsidR="00007D1D">
        <w:rPr>
          <w:rFonts w:ascii="Times New Roman" w:hAnsi="Times New Roman" w:cs="Times New Roman"/>
          <w:sz w:val="24"/>
          <w:szCs w:val="24"/>
        </w:rPr>
        <w:t>a</w:t>
      </w:r>
      <w:r w:rsidR="007676EC">
        <w:rPr>
          <w:rFonts w:ascii="Times New Roman" w:hAnsi="Times New Roman" w:cs="Times New Roman"/>
          <w:sz w:val="24"/>
          <w:szCs w:val="24"/>
        </w:rPr>
        <w:t xml:space="preserve"> prenesen</w:t>
      </w:r>
      <w:r w:rsidR="00AF079F">
        <w:rPr>
          <w:rFonts w:ascii="Times New Roman" w:hAnsi="Times New Roman" w:cs="Times New Roman"/>
          <w:sz w:val="24"/>
          <w:szCs w:val="24"/>
        </w:rPr>
        <w:t xml:space="preserve"> u 202</w:t>
      </w:r>
      <w:r w:rsidR="006B3D8A">
        <w:rPr>
          <w:rFonts w:ascii="Times New Roman" w:hAnsi="Times New Roman" w:cs="Times New Roman"/>
          <w:sz w:val="24"/>
          <w:szCs w:val="24"/>
        </w:rPr>
        <w:t>5</w:t>
      </w:r>
      <w:r w:rsidRPr="00241E61">
        <w:rPr>
          <w:rFonts w:ascii="Times New Roman" w:hAnsi="Times New Roman" w:cs="Times New Roman"/>
          <w:sz w:val="24"/>
          <w:szCs w:val="24"/>
        </w:rPr>
        <w:t>. godinu</w:t>
      </w:r>
      <w:r w:rsidR="002C26E9">
        <w:rPr>
          <w:rFonts w:ascii="Times New Roman" w:hAnsi="Times New Roman" w:cs="Times New Roman"/>
          <w:sz w:val="24"/>
          <w:szCs w:val="24"/>
        </w:rPr>
        <w:t xml:space="preserve"> </w:t>
      </w:r>
      <w:r w:rsidR="00007D1D">
        <w:rPr>
          <w:rFonts w:ascii="Times New Roman" w:hAnsi="Times New Roman" w:cs="Times New Roman"/>
          <w:sz w:val="24"/>
          <w:szCs w:val="24"/>
        </w:rPr>
        <w:t>utrošen je</w:t>
      </w:r>
      <w:r w:rsidR="0027082A">
        <w:rPr>
          <w:rFonts w:ascii="Times New Roman" w:hAnsi="Times New Roman" w:cs="Times New Roman"/>
          <w:sz w:val="24"/>
          <w:szCs w:val="24"/>
        </w:rPr>
        <w:t xml:space="preserve"> </w:t>
      </w:r>
      <w:r w:rsidR="002C26E9">
        <w:rPr>
          <w:rFonts w:ascii="Times New Roman" w:hAnsi="Times New Roman" w:cs="Times New Roman"/>
          <w:sz w:val="24"/>
          <w:szCs w:val="24"/>
        </w:rPr>
        <w:t>za</w:t>
      </w:r>
      <w:r w:rsidR="00AD5FC2">
        <w:rPr>
          <w:rFonts w:ascii="Times New Roman" w:hAnsi="Times New Roman" w:cs="Times New Roman"/>
          <w:sz w:val="24"/>
          <w:szCs w:val="24"/>
        </w:rPr>
        <w:t xml:space="preserve"> </w:t>
      </w:r>
      <w:r w:rsidR="002C26E9">
        <w:rPr>
          <w:rFonts w:ascii="Times New Roman" w:hAnsi="Times New Roman" w:cs="Times New Roman"/>
          <w:sz w:val="24"/>
          <w:szCs w:val="24"/>
        </w:rPr>
        <w:t>plaćanje lijekova i potrošnog</w:t>
      </w:r>
      <w:r w:rsidRPr="00241E61">
        <w:rPr>
          <w:rFonts w:ascii="Times New Roman" w:hAnsi="Times New Roman" w:cs="Times New Roman"/>
          <w:sz w:val="24"/>
          <w:szCs w:val="24"/>
        </w:rPr>
        <w:t xml:space="preserve"> medicinsk</w:t>
      </w:r>
      <w:r w:rsidR="002C26E9">
        <w:rPr>
          <w:rFonts w:ascii="Times New Roman" w:hAnsi="Times New Roman" w:cs="Times New Roman"/>
          <w:sz w:val="24"/>
          <w:szCs w:val="24"/>
        </w:rPr>
        <w:t>og</w:t>
      </w:r>
      <w:r w:rsidRPr="00241E61">
        <w:rPr>
          <w:rFonts w:ascii="Times New Roman" w:hAnsi="Times New Roman" w:cs="Times New Roman"/>
          <w:sz w:val="24"/>
          <w:szCs w:val="24"/>
        </w:rPr>
        <w:t xml:space="preserve"> materijal</w:t>
      </w:r>
      <w:r w:rsidR="002C26E9">
        <w:rPr>
          <w:rFonts w:ascii="Times New Roman" w:hAnsi="Times New Roman" w:cs="Times New Roman"/>
          <w:sz w:val="24"/>
          <w:szCs w:val="24"/>
        </w:rPr>
        <w:t>a</w:t>
      </w:r>
      <w:r w:rsidR="00AD5FC2">
        <w:rPr>
          <w:rFonts w:ascii="Times New Roman" w:hAnsi="Times New Roman" w:cs="Times New Roman"/>
          <w:sz w:val="24"/>
          <w:szCs w:val="24"/>
        </w:rPr>
        <w:t>.</w:t>
      </w:r>
      <w:r w:rsidR="006B3D8A">
        <w:rPr>
          <w:rFonts w:ascii="Times New Roman" w:hAnsi="Times New Roman" w:cs="Times New Roman"/>
          <w:sz w:val="24"/>
          <w:szCs w:val="24"/>
        </w:rPr>
        <w:t xml:space="preserve"> Na kraju 2025</w:t>
      </w:r>
      <w:r w:rsidR="0036113F">
        <w:rPr>
          <w:rFonts w:ascii="Times New Roman" w:hAnsi="Times New Roman" w:cs="Times New Roman"/>
          <w:sz w:val="24"/>
          <w:szCs w:val="24"/>
        </w:rPr>
        <w:t>. godine ostao je za prijenos u 202</w:t>
      </w:r>
      <w:r w:rsidR="006B3D8A">
        <w:rPr>
          <w:rFonts w:ascii="Times New Roman" w:hAnsi="Times New Roman" w:cs="Times New Roman"/>
          <w:sz w:val="24"/>
          <w:szCs w:val="24"/>
        </w:rPr>
        <w:t>6</w:t>
      </w:r>
      <w:r w:rsidR="0036113F">
        <w:rPr>
          <w:rFonts w:ascii="Times New Roman" w:hAnsi="Times New Roman" w:cs="Times New Roman"/>
          <w:sz w:val="24"/>
          <w:szCs w:val="24"/>
        </w:rPr>
        <w:t>. godinu iznos od 94</w:t>
      </w:r>
      <w:r w:rsidR="006B3D8A">
        <w:rPr>
          <w:rFonts w:ascii="Times New Roman" w:hAnsi="Times New Roman" w:cs="Times New Roman"/>
          <w:sz w:val="24"/>
          <w:szCs w:val="24"/>
        </w:rPr>
        <w:t>7</w:t>
      </w:r>
      <w:r w:rsidR="0036113F">
        <w:rPr>
          <w:rFonts w:ascii="Times New Roman" w:hAnsi="Times New Roman" w:cs="Times New Roman"/>
          <w:sz w:val="24"/>
          <w:szCs w:val="24"/>
        </w:rPr>
        <w:t>.</w:t>
      </w:r>
      <w:r w:rsidR="006B3D8A">
        <w:rPr>
          <w:rFonts w:ascii="Times New Roman" w:hAnsi="Times New Roman" w:cs="Times New Roman"/>
          <w:sz w:val="24"/>
          <w:szCs w:val="24"/>
        </w:rPr>
        <w:t>290,92</w:t>
      </w:r>
      <w:r w:rsidR="0036113F">
        <w:rPr>
          <w:rFonts w:ascii="Times New Roman" w:hAnsi="Times New Roman" w:cs="Times New Roman"/>
          <w:sz w:val="24"/>
          <w:szCs w:val="24"/>
        </w:rPr>
        <w:t xml:space="preserve"> eura </w:t>
      </w:r>
      <w:r w:rsidR="0036113F" w:rsidRPr="0008327F">
        <w:rPr>
          <w:rFonts w:ascii="Times New Roman" w:hAnsi="Times New Roman" w:cs="Times New Roman"/>
          <w:sz w:val="24"/>
          <w:szCs w:val="24"/>
        </w:rPr>
        <w:t>od doznačenih sredstava za dopunsko zdravstveno osiguranje i participaciju</w:t>
      </w:r>
      <w:r w:rsidR="0036113F">
        <w:rPr>
          <w:rFonts w:ascii="Times New Roman" w:hAnsi="Times New Roman" w:cs="Times New Roman"/>
          <w:sz w:val="24"/>
          <w:szCs w:val="24"/>
        </w:rPr>
        <w:t>, a bit će utrošen za redovno poslovanje.</w:t>
      </w:r>
    </w:p>
    <w:p w:rsidR="009C7BF1" w:rsidRDefault="009C7BF1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97AD8">
        <w:rPr>
          <w:rFonts w:ascii="Times New Roman" w:hAnsi="Times New Roman" w:cs="Times New Roman"/>
          <w:sz w:val="24"/>
          <w:szCs w:val="24"/>
        </w:rPr>
        <w:t xml:space="preserve">Realizacija projekta JANE2 počela je u 2025. godini, te </w:t>
      </w:r>
      <w:r w:rsidR="00697AD8" w:rsidRPr="00697AD8">
        <w:rPr>
          <w:rFonts w:ascii="Times New Roman" w:hAnsi="Times New Roman" w:cs="Times New Roman"/>
          <w:sz w:val="24"/>
          <w:szCs w:val="24"/>
        </w:rPr>
        <w:t>je n</w:t>
      </w:r>
      <w:r w:rsidRPr="00697AD8">
        <w:rPr>
          <w:rFonts w:ascii="Times New Roman" w:hAnsi="Times New Roman" w:cs="Times New Roman"/>
          <w:sz w:val="24"/>
          <w:szCs w:val="24"/>
        </w:rPr>
        <w:t xml:space="preserve">a kraju godine na izvoru financiranja 51 Pomoći EU ostao neutrošen iznos od 51.383,79 eura </w:t>
      </w:r>
      <w:r w:rsidR="00697AD8" w:rsidRPr="00697AD8">
        <w:rPr>
          <w:rFonts w:ascii="Times New Roman" w:hAnsi="Times New Roman" w:cs="Times New Roman"/>
          <w:sz w:val="24"/>
          <w:szCs w:val="24"/>
        </w:rPr>
        <w:t xml:space="preserve">koji se u </w:t>
      </w:r>
      <w:r w:rsidR="009A174D" w:rsidRPr="00697AD8">
        <w:rPr>
          <w:rFonts w:ascii="Times New Roman" w:hAnsi="Times New Roman" w:cs="Times New Roman"/>
          <w:sz w:val="24"/>
          <w:szCs w:val="24"/>
        </w:rPr>
        <w:t>2026. godin</w:t>
      </w:r>
      <w:r w:rsidR="00697AD8" w:rsidRPr="00697AD8">
        <w:rPr>
          <w:rFonts w:ascii="Times New Roman" w:hAnsi="Times New Roman" w:cs="Times New Roman"/>
          <w:sz w:val="24"/>
          <w:szCs w:val="24"/>
        </w:rPr>
        <w:t>u</w:t>
      </w:r>
      <w:r w:rsidR="00127912" w:rsidRPr="00697AD8">
        <w:rPr>
          <w:rFonts w:ascii="Times New Roman" w:hAnsi="Times New Roman" w:cs="Times New Roman"/>
          <w:sz w:val="24"/>
          <w:szCs w:val="24"/>
        </w:rPr>
        <w:t xml:space="preserve"> temeljem Upute Ministarstva financija za izradu prijedloga državnog proračuna Republike Hrvatske za razdoblje 2026. – 2028. godine</w:t>
      </w:r>
      <w:r w:rsidR="009A174D" w:rsidRPr="00697AD8">
        <w:rPr>
          <w:rFonts w:ascii="Times New Roman" w:hAnsi="Times New Roman" w:cs="Times New Roman"/>
          <w:sz w:val="24"/>
          <w:szCs w:val="24"/>
        </w:rPr>
        <w:t xml:space="preserve"> </w:t>
      </w:r>
      <w:r w:rsidR="00955646" w:rsidRPr="00697AD8">
        <w:rPr>
          <w:rFonts w:ascii="Times New Roman" w:hAnsi="Times New Roman" w:cs="Times New Roman"/>
          <w:sz w:val="24"/>
          <w:szCs w:val="24"/>
        </w:rPr>
        <w:t>pre</w:t>
      </w:r>
      <w:r w:rsidR="00697AD8" w:rsidRPr="00697AD8">
        <w:rPr>
          <w:rFonts w:ascii="Times New Roman" w:hAnsi="Times New Roman" w:cs="Times New Roman"/>
          <w:sz w:val="24"/>
          <w:szCs w:val="24"/>
        </w:rPr>
        <w:t xml:space="preserve">nosi </w:t>
      </w:r>
      <w:r w:rsidR="00955646" w:rsidRPr="00697AD8">
        <w:rPr>
          <w:rFonts w:ascii="Times New Roman" w:hAnsi="Times New Roman" w:cs="Times New Roman"/>
          <w:sz w:val="24"/>
          <w:szCs w:val="24"/>
        </w:rPr>
        <w:t>na</w:t>
      </w:r>
      <w:r w:rsidR="00127912" w:rsidRPr="00697AD8">
        <w:rPr>
          <w:rFonts w:ascii="Times New Roman" w:hAnsi="Times New Roman" w:cs="Times New Roman"/>
          <w:sz w:val="24"/>
          <w:szCs w:val="24"/>
        </w:rPr>
        <w:t xml:space="preserve"> izv</w:t>
      </w:r>
      <w:r w:rsidR="00697AD8" w:rsidRPr="00697AD8">
        <w:rPr>
          <w:rFonts w:ascii="Times New Roman" w:hAnsi="Times New Roman" w:cs="Times New Roman"/>
          <w:sz w:val="24"/>
          <w:szCs w:val="24"/>
        </w:rPr>
        <w:t>or financiranja 51000 Programi Unije – raspoloživ predujam</w:t>
      </w:r>
      <w:r w:rsidR="00127912" w:rsidRPr="00697AD8">
        <w:rPr>
          <w:rFonts w:ascii="Times New Roman" w:hAnsi="Times New Roman" w:cs="Times New Roman"/>
          <w:sz w:val="24"/>
          <w:szCs w:val="24"/>
        </w:rPr>
        <w:t>.</w:t>
      </w:r>
      <w:r w:rsidR="00127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912" w:rsidRDefault="00706173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</w:r>
      <w:r w:rsidRPr="007C2A64">
        <w:rPr>
          <w:rFonts w:ascii="Times New Roman" w:hAnsi="Times New Roman" w:cs="Times New Roman"/>
          <w:sz w:val="24"/>
          <w:szCs w:val="24"/>
        </w:rPr>
        <w:t xml:space="preserve">Na </w:t>
      </w:r>
      <w:r w:rsidR="004F3CFF" w:rsidRPr="007C2A64">
        <w:rPr>
          <w:rFonts w:ascii="Times New Roman" w:hAnsi="Times New Roman" w:cs="Times New Roman"/>
          <w:sz w:val="24"/>
          <w:szCs w:val="24"/>
        </w:rPr>
        <w:t>izvoru financiranja 52 Ostale pomoći</w:t>
      </w:r>
      <w:r w:rsidR="00697AD8">
        <w:rPr>
          <w:rFonts w:ascii="Times New Roman" w:hAnsi="Times New Roman" w:cs="Times New Roman"/>
          <w:sz w:val="24"/>
          <w:szCs w:val="24"/>
        </w:rPr>
        <w:t xml:space="preserve"> u 2025. godinu</w:t>
      </w:r>
      <w:r w:rsidR="007C2A64" w:rsidRPr="007C2A64">
        <w:rPr>
          <w:rFonts w:ascii="Times New Roman" w:hAnsi="Times New Roman" w:cs="Times New Roman"/>
          <w:sz w:val="24"/>
          <w:szCs w:val="24"/>
        </w:rPr>
        <w:t xml:space="preserve"> </w:t>
      </w:r>
      <w:r w:rsidR="00007D1D">
        <w:rPr>
          <w:rFonts w:ascii="Times New Roman" w:hAnsi="Times New Roman" w:cs="Times New Roman"/>
          <w:sz w:val="24"/>
          <w:szCs w:val="24"/>
        </w:rPr>
        <w:t xml:space="preserve">preneseno </w:t>
      </w:r>
      <w:r w:rsidR="00697AD8">
        <w:rPr>
          <w:rFonts w:ascii="Times New Roman" w:hAnsi="Times New Roman" w:cs="Times New Roman"/>
          <w:sz w:val="24"/>
          <w:szCs w:val="24"/>
        </w:rPr>
        <w:t xml:space="preserve">je </w:t>
      </w:r>
      <w:r w:rsidR="00007D1D">
        <w:rPr>
          <w:rFonts w:ascii="Times New Roman" w:hAnsi="Times New Roman" w:cs="Times New Roman"/>
          <w:sz w:val="24"/>
          <w:szCs w:val="24"/>
        </w:rPr>
        <w:t xml:space="preserve">i </w:t>
      </w:r>
      <w:r w:rsidR="0027082A">
        <w:rPr>
          <w:rFonts w:ascii="Times New Roman" w:hAnsi="Times New Roman" w:cs="Times New Roman"/>
          <w:sz w:val="24"/>
          <w:szCs w:val="24"/>
        </w:rPr>
        <w:t>utrošeno</w:t>
      </w:r>
      <w:r w:rsidR="00AA7AAF">
        <w:rPr>
          <w:rFonts w:ascii="Times New Roman" w:hAnsi="Times New Roman" w:cs="Times New Roman"/>
          <w:sz w:val="24"/>
          <w:szCs w:val="24"/>
        </w:rPr>
        <w:t xml:space="preserve"> </w:t>
      </w:r>
      <w:r w:rsidR="00984ED7">
        <w:rPr>
          <w:rFonts w:ascii="Times New Roman" w:hAnsi="Times New Roman" w:cs="Times New Roman"/>
          <w:sz w:val="24"/>
          <w:szCs w:val="24"/>
        </w:rPr>
        <w:t>182.901</w:t>
      </w:r>
      <w:r w:rsidR="00697AD8">
        <w:rPr>
          <w:rFonts w:ascii="Times New Roman" w:hAnsi="Times New Roman" w:cs="Times New Roman"/>
          <w:sz w:val="24"/>
          <w:szCs w:val="24"/>
        </w:rPr>
        <w:t xml:space="preserve"> euro</w:t>
      </w:r>
      <w:r w:rsidR="007C2A64" w:rsidRPr="007C2A64">
        <w:rPr>
          <w:rFonts w:ascii="Times New Roman" w:hAnsi="Times New Roman" w:cs="Times New Roman"/>
          <w:sz w:val="24"/>
          <w:szCs w:val="24"/>
        </w:rPr>
        <w:t xml:space="preserve"> </w:t>
      </w:r>
      <w:r w:rsidR="00637DDE" w:rsidRPr="007C2A64">
        <w:rPr>
          <w:rFonts w:ascii="Times New Roman" w:hAnsi="Times New Roman" w:cs="Times New Roman"/>
          <w:sz w:val="24"/>
          <w:szCs w:val="24"/>
        </w:rPr>
        <w:t xml:space="preserve">za plaće </w:t>
      </w:r>
      <w:r w:rsidR="00637DDE" w:rsidRPr="0008327F">
        <w:rPr>
          <w:rFonts w:ascii="Times New Roman" w:hAnsi="Times New Roman" w:cs="Times New Roman"/>
          <w:sz w:val="24"/>
          <w:szCs w:val="24"/>
        </w:rPr>
        <w:t>pripravnika</w:t>
      </w:r>
      <w:r w:rsidR="00855106" w:rsidRPr="0008327F">
        <w:rPr>
          <w:rFonts w:ascii="Times New Roman" w:hAnsi="Times New Roman" w:cs="Times New Roman"/>
          <w:sz w:val="24"/>
          <w:szCs w:val="24"/>
        </w:rPr>
        <w:t xml:space="preserve"> osnovom mjere „Državna potpora za sufinanciranje zapošljavanja za stjecanje prvog radnog iskustva/pripravništvo“</w:t>
      </w:r>
      <w:r w:rsidR="00007D1D" w:rsidRPr="0008327F">
        <w:rPr>
          <w:rFonts w:ascii="Times New Roman" w:hAnsi="Times New Roman" w:cs="Times New Roman"/>
          <w:sz w:val="24"/>
          <w:szCs w:val="24"/>
        </w:rPr>
        <w:t>.</w:t>
      </w:r>
      <w:r w:rsidR="0036113F">
        <w:rPr>
          <w:rFonts w:ascii="Times New Roman" w:hAnsi="Times New Roman" w:cs="Times New Roman"/>
          <w:sz w:val="24"/>
          <w:szCs w:val="24"/>
        </w:rPr>
        <w:t xml:space="preserve"> U slijedeću </w:t>
      </w:r>
      <w:r w:rsidR="0036113F" w:rsidRPr="00697AD8">
        <w:rPr>
          <w:rFonts w:ascii="Times New Roman" w:hAnsi="Times New Roman" w:cs="Times New Roman"/>
          <w:sz w:val="24"/>
          <w:szCs w:val="24"/>
        </w:rPr>
        <w:t xml:space="preserve">godinu prenosi se </w:t>
      </w:r>
      <w:r w:rsidR="0008327F" w:rsidRPr="00697AD8">
        <w:rPr>
          <w:rFonts w:ascii="Times New Roman" w:hAnsi="Times New Roman" w:cs="Times New Roman"/>
          <w:sz w:val="24"/>
          <w:szCs w:val="24"/>
        </w:rPr>
        <w:t xml:space="preserve">neutrošeni </w:t>
      </w:r>
      <w:r w:rsidR="0036113F" w:rsidRPr="00697AD8">
        <w:rPr>
          <w:rFonts w:ascii="Times New Roman" w:hAnsi="Times New Roman" w:cs="Times New Roman"/>
          <w:sz w:val="24"/>
          <w:szCs w:val="24"/>
        </w:rPr>
        <w:t xml:space="preserve">iznos od </w:t>
      </w:r>
      <w:r w:rsidR="006B3D8A" w:rsidRPr="00697AD8">
        <w:rPr>
          <w:rFonts w:ascii="Times New Roman" w:hAnsi="Times New Roman" w:cs="Times New Roman"/>
          <w:sz w:val="24"/>
          <w:szCs w:val="24"/>
        </w:rPr>
        <w:t>36.790,87</w:t>
      </w:r>
      <w:r w:rsidR="0008327F" w:rsidRPr="00697AD8">
        <w:rPr>
          <w:rFonts w:ascii="Times New Roman" w:hAnsi="Times New Roman" w:cs="Times New Roman"/>
          <w:sz w:val="24"/>
          <w:szCs w:val="24"/>
        </w:rPr>
        <w:t xml:space="preserve"> eura</w:t>
      </w:r>
      <w:r w:rsidR="0008327F">
        <w:rPr>
          <w:rFonts w:ascii="Times New Roman" w:hAnsi="Times New Roman" w:cs="Times New Roman"/>
          <w:sz w:val="24"/>
          <w:szCs w:val="24"/>
        </w:rPr>
        <w:t xml:space="preserve">  na </w:t>
      </w:r>
      <w:r w:rsidR="0008327F" w:rsidRPr="00127912">
        <w:rPr>
          <w:rFonts w:ascii="Times New Roman" w:hAnsi="Times New Roman" w:cs="Times New Roman"/>
          <w:sz w:val="24"/>
          <w:szCs w:val="24"/>
        </w:rPr>
        <w:t>izvor fina</w:t>
      </w:r>
      <w:r w:rsidR="00A10514">
        <w:rPr>
          <w:rFonts w:ascii="Times New Roman" w:hAnsi="Times New Roman" w:cs="Times New Roman"/>
          <w:sz w:val="24"/>
          <w:szCs w:val="24"/>
        </w:rPr>
        <w:t>n</w:t>
      </w:r>
      <w:r w:rsidR="0008327F" w:rsidRPr="00127912">
        <w:rPr>
          <w:rFonts w:ascii="Times New Roman" w:hAnsi="Times New Roman" w:cs="Times New Roman"/>
          <w:sz w:val="24"/>
          <w:szCs w:val="24"/>
        </w:rPr>
        <w:t>ciranja 51000</w:t>
      </w:r>
      <w:r w:rsidR="00127912">
        <w:rPr>
          <w:rFonts w:ascii="Times New Roman" w:hAnsi="Times New Roman" w:cs="Times New Roman"/>
          <w:sz w:val="24"/>
          <w:szCs w:val="24"/>
        </w:rPr>
        <w:t xml:space="preserve"> – Programi </w:t>
      </w:r>
      <w:r w:rsidR="00697AD8">
        <w:rPr>
          <w:rFonts w:ascii="Times New Roman" w:hAnsi="Times New Roman" w:cs="Times New Roman"/>
          <w:sz w:val="24"/>
          <w:szCs w:val="24"/>
        </w:rPr>
        <w:t>U</w:t>
      </w:r>
      <w:r w:rsidR="00127912">
        <w:rPr>
          <w:rFonts w:ascii="Times New Roman" w:hAnsi="Times New Roman" w:cs="Times New Roman"/>
          <w:sz w:val="24"/>
          <w:szCs w:val="24"/>
        </w:rPr>
        <w:t>nije temeljem</w:t>
      </w:r>
      <w:r w:rsidR="00A10514">
        <w:rPr>
          <w:rFonts w:ascii="Times New Roman" w:hAnsi="Times New Roman" w:cs="Times New Roman"/>
          <w:sz w:val="24"/>
          <w:szCs w:val="24"/>
        </w:rPr>
        <w:t xml:space="preserve"> </w:t>
      </w:r>
      <w:r w:rsidR="00A10514" w:rsidRPr="00A10514">
        <w:rPr>
          <w:rFonts w:ascii="Times New Roman" w:hAnsi="Times New Roman" w:cs="Times New Roman"/>
          <w:sz w:val="24"/>
          <w:szCs w:val="24"/>
        </w:rPr>
        <w:t>Upute Ministarstva financija za izradu prijedloga državnog proračuna Republike Hrvatske za razdoblje 2026. – 2028. godine</w:t>
      </w:r>
      <w:r w:rsidR="00A10514">
        <w:rPr>
          <w:rFonts w:ascii="Times New Roman" w:hAnsi="Times New Roman" w:cs="Times New Roman"/>
          <w:sz w:val="24"/>
          <w:szCs w:val="24"/>
        </w:rPr>
        <w:t xml:space="preserve"> koji će se utrošiti za provedbu projekta </w:t>
      </w:r>
      <w:proofErr w:type="spellStart"/>
      <w:r w:rsidR="00A10514">
        <w:rPr>
          <w:rFonts w:ascii="Times New Roman" w:hAnsi="Times New Roman" w:cs="Times New Roman"/>
          <w:sz w:val="24"/>
          <w:szCs w:val="24"/>
        </w:rPr>
        <w:t>EUnetCCC</w:t>
      </w:r>
      <w:proofErr w:type="spellEnd"/>
      <w:r w:rsidR="00A10514">
        <w:rPr>
          <w:rFonts w:ascii="Times New Roman" w:hAnsi="Times New Roman" w:cs="Times New Roman"/>
          <w:sz w:val="24"/>
          <w:szCs w:val="24"/>
        </w:rPr>
        <w:t>.</w:t>
      </w:r>
    </w:p>
    <w:p w:rsidR="0008327F" w:rsidRDefault="004F3CFF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972FE">
        <w:rPr>
          <w:rFonts w:ascii="Times New Roman" w:hAnsi="Times New Roman" w:cs="Times New Roman"/>
          <w:sz w:val="24"/>
          <w:szCs w:val="24"/>
        </w:rPr>
        <w:t>Od d</w:t>
      </w:r>
      <w:r w:rsidR="00706173" w:rsidRPr="00D972FE">
        <w:rPr>
          <w:rFonts w:ascii="Times New Roman" w:hAnsi="Times New Roman" w:cs="Times New Roman"/>
          <w:sz w:val="24"/>
          <w:szCs w:val="24"/>
        </w:rPr>
        <w:t>on</w:t>
      </w:r>
      <w:r w:rsidR="00AD5FC2" w:rsidRPr="00D972FE">
        <w:rPr>
          <w:rFonts w:ascii="Times New Roman" w:hAnsi="Times New Roman" w:cs="Times New Roman"/>
          <w:sz w:val="24"/>
          <w:szCs w:val="24"/>
        </w:rPr>
        <w:t>acija (</w:t>
      </w:r>
      <w:r w:rsidRPr="00D972FE">
        <w:rPr>
          <w:rFonts w:ascii="Times New Roman" w:hAnsi="Times New Roman" w:cs="Times New Roman"/>
          <w:sz w:val="24"/>
          <w:szCs w:val="24"/>
        </w:rPr>
        <w:t>izvor financiranja 61</w:t>
      </w:r>
      <w:r w:rsidR="00AD5FC2" w:rsidRPr="00D972FE">
        <w:rPr>
          <w:rFonts w:ascii="Times New Roman" w:hAnsi="Times New Roman" w:cs="Times New Roman"/>
          <w:sz w:val="24"/>
          <w:szCs w:val="24"/>
        </w:rPr>
        <w:t xml:space="preserve">) ostalo je </w:t>
      </w:r>
      <w:r w:rsidR="00706173" w:rsidRPr="00D972FE">
        <w:rPr>
          <w:rFonts w:ascii="Times New Roman" w:hAnsi="Times New Roman" w:cs="Times New Roman"/>
          <w:sz w:val="24"/>
          <w:szCs w:val="24"/>
        </w:rPr>
        <w:t>neutrošeno</w:t>
      </w:r>
      <w:r w:rsidR="002A23DA" w:rsidRPr="00D972FE">
        <w:rPr>
          <w:rFonts w:ascii="Times New Roman" w:hAnsi="Times New Roman" w:cs="Times New Roman"/>
          <w:sz w:val="24"/>
          <w:szCs w:val="24"/>
        </w:rPr>
        <w:t xml:space="preserve"> u prethodnoj godini</w:t>
      </w:r>
      <w:r w:rsidR="00706173" w:rsidRPr="00D972FE">
        <w:rPr>
          <w:rFonts w:ascii="Times New Roman" w:hAnsi="Times New Roman" w:cs="Times New Roman"/>
          <w:sz w:val="24"/>
          <w:szCs w:val="24"/>
        </w:rPr>
        <w:t xml:space="preserve"> </w:t>
      </w:r>
      <w:r w:rsidR="00984ED7">
        <w:rPr>
          <w:rFonts w:ascii="Times New Roman" w:hAnsi="Times New Roman" w:cs="Times New Roman"/>
          <w:sz w:val="24"/>
          <w:szCs w:val="24"/>
        </w:rPr>
        <w:t>357.365</w:t>
      </w:r>
      <w:r w:rsidR="00706173" w:rsidRPr="00D972FE">
        <w:rPr>
          <w:rFonts w:ascii="Times New Roman" w:hAnsi="Times New Roman" w:cs="Times New Roman"/>
          <w:sz w:val="24"/>
          <w:szCs w:val="24"/>
        </w:rPr>
        <w:t xml:space="preserve"> eura</w:t>
      </w:r>
      <w:r w:rsidR="00D972FE">
        <w:rPr>
          <w:rFonts w:ascii="Times New Roman" w:hAnsi="Times New Roman" w:cs="Times New Roman"/>
          <w:sz w:val="24"/>
          <w:szCs w:val="24"/>
        </w:rPr>
        <w:t xml:space="preserve"> </w:t>
      </w:r>
      <w:r w:rsidR="0014479D">
        <w:rPr>
          <w:rFonts w:ascii="Times New Roman" w:hAnsi="Times New Roman" w:cs="Times New Roman"/>
          <w:sz w:val="24"/>
          <w:szCs w:val="24"/>
        </w:rPr>
        <w:t xml:space="preserve">koji su </w:t>
      </w:r>
      <w:r w:rsidR="00A10514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14479D">
        <w:rPr>
          <w:rFonts w:ascii="Times New Roman" w:hAnsi="Times New Roman" w:cs="Times New Roman"/>
          <w:sz w:val="24"/>
          <w:szCs w:val="24"/>
        </w:rPr>
        <w:t xml:space="preserve">utrošeni </w:t>
      </w:r>
      <w:r w:rsidR="00D972FE">
        <w:rPr>
          <w:rFonts w:ascii="Times New Roman" w:hAnsi="Times New Roman" w:cs="Times New Roman"/>
          <w:sz w:val="24"/>
          <w:szCs w:val="24"/>
        </w:rPr>
        <w:t>t</w:t>
      </w:r>
      <w:r w:rsidR="00726FA6">
        <w:rPr>
          <w:rFonts w:ascii="Times New Roman" w:hAnsi="Times New Roman" w:cs="Times New Roman"/>
          <w:sz w:val="24"/>
          <w:szCs w:val="24"/>
        </w:rPr>
        <w:t>ijek</w:t>
      </w:r>
      <w:r w:rsidR="00D972FE">
        <w:rPr>
          <w:rFonts w:ascii="Times New Roman" w:hAnsi="Times New Roman" w:cs="Times New Roman"/>
          <w:sz w:val="24"/>
          <w:szCs w:val="24"/>
        </w:rPr>
        <w:t>om 202</w:t>
      </w:r>
      <w:r w:rsidR="00796716">
        <w:rPr>
          <w:rFonts w:ascii="Times New Roman" w:hAnsi="Times New Roman" w:cs="Times New Roman"/>
          <w:sz w:val="24"/>
          <w:szCs w:val="24"/>
        </w:rPr>
        <w:t>5</w:t>
      </w:r>
      <w:r w:rsidR="00D972FE">
        <w:rPr>
          <w:rFonts w:ascii="Times New Roman" w:hAnsi="Times New Roman" w:cs="Times New Roman"/>
          <w:sz w:val="24"/>
          <w:szCs w:val="24"/>
        </w:rPr>
        <w:t xml:space="preserve">. godine </w:t>
      </w:r>
      <w:r w:rsidR="00625C2E">
        <w:rPr>
          <w:rFonts w:ascii="Times New Roman" w:hAnsi="Times New Roman" w:cs="Times New Roman"/>
          <w:sz w:val="24"/>
          <w:szCs w:val="24"/>
        </w:rPr>
        <w:t>za nabavku</w:t>
      </w:r>
      <w:r w:rsidR="00DF7EFA" w:rsidRPr="00D972FE">
        <w:rPr>
          <w:rFonts w:ascii="Times New Roman" w:hAnsi="Times New Roman" w:cs="Times New Roman"/>
          <w:sz w:val="24"/>
          <w:szCs w:val="24"/>
        </w:rPr>
        <w:t xml:space="preserve"> </w:t>
      </w:r>
      <w:r w:rsidR="0008327F" w:rsidRPr="0008327F">
        <w:rPr>
          <w:rFonts w:ascii="Times New Roman" w:hAnsi="Times New Roman" w:cs="Times New Roman"/>
          <w:sz w:val="24"/>
          <w:szCs w:val="24"/>
        </w:rPr>
        <w:t xml:space="preserve">dječjih krevetića i kreveta </w:t>
      </w:r>
      <w:r w:rsidR="0014479D">
        <w:rPr>
          <w:rFonts w:ascii="Times New Roman" w:hAnsi="Times New Roman" w:cs="Times New Roman"/>
          <w:sz w:val="24"/>
          <w:szCs w:val="24"/>
        </w:rPr>
        <w:t>n</w:t>
      </w:r>
      <w:r w:rsidR="0008327F" w:rsidRPr="0008327F">
        <w:rPr>
          <w:rFonts w:ascii="Times New Roman" w:hAnsi="Times New Roman" w:cs="Times New Roman"/>
          <w:sz w:val="24"/>
          <w:szCs w:val="24"/>
        </w:rPr>
        <w:t>a razvlačenje za roditelje za potrebe</w:t>
      </w:r>
      <w:r w:rsidR="0008327F">
        <w:rPr>
          <w:rFonts w:ascii="Times New Roman" w:hAnsi="Times New Roman" w:cs="Times New Roman"/>
          <w:sz w:val="24"/>
          <w:szCs w:val="24"/>
        </w:rPr>
        <w:t xml:space="preserve"> </w:t>
      </w:r>
      <w:r w:rsidR="0008327F" w:rsidRPr="0008327F">
        <w:rPr>
          <w:rFonts w:ascii="Times New Roman" w:hAnsi="Times New Roman" w:cs="Times New Roman"/>
          <w:sz w:val="24"/>
          <w:szCs w:val="24"/>
        </w:rPr>
        <w:t>Klinike za pedijatriju</w:t>
      </w:r>
      <w:r w:rsidR="0014479D">
        <w:rPr>
          <w:rFonts w:ascii="Times New Roman" w:hAnsi="Times New Roman" w:cs="Times New Roman"/>
          <w:sz w:val="24"/>
          <w:szCs w:val="24"/>
        </w:rPr>
        <w:t>,</w:t>
      </w:r>
      <w:r w:rsidR="00F34537">
        <w:rPr>
          <w:rFonts w:ascii="Times New Roman" w:hAnsi="Times New Roman" w:cs="Times New Roman"/>
          <w:sz w:val="24"/>
          <w:szCs w:val="24"/>
        </w:rPr>
        <w:t xml:space="preserve"> te </w:t>
      </w:r>
      <w:r w:rsidR="00F34537" w:rsidRPr="00F34537">
        <w:rPr>
          <w:rFonts w:ascii="Times New Roman" w:hAnsi="Times New Roman" w:cs="Times New Roman"/>
          <w:sz w:val="24"/>
          <w:szCs w:val="24"/>
        </w:rPr>
        <w:t>za edukaciju i poboljšanje specijalističke edukacije na Klinici za urologiju</w:t>
      </w:r>
      <w:r w:rsidR="00F34537">
        <w:rPr>
          <w:rFonts w:ascii="Times New Roman" w:hAnsi="Times New Roman" w:cs="Times New Roman"/>
          <w:sz w:val="24"/>
          <w:szCs w:val="24"/>
        </w:rPr>
        <w:t>.</w:t>
      </w:r>
      <w:r w:rsidR="00F34537" w:rsidRPr="00F34537">
        <w:t xml:space="preserve"> </w:t>
      </w:r>
      <w:r w:rsidR="00F34537" w:rsidRPr="00F34537">
        <w:rPr>
          <w:rFonts w:ascii="Times New Roman" w:hAnsi="Times New Roman" w:cs="Times New Roman"/>
          <w:sz w:val="24"/>
          <w:szCs w:val="24"/>
        </w:rPr>
        <w:t>U 2026. godinu prenosi se iznos od 377.875,44 eura, a koristit će se za</w:t>
      </w:r>
      <w:r w:rsidR="00A10514">
        <w:rPr>
          <w:rFonts w:ascii="Times New Roman" w:hAnsi="Times New Roman" w:cs="Times New Roman"/>
          <w:sz w:val="24"/>
          <w:szCs w:val="24"/>
        </w:rPr>
        <w:t xml:space="preserve"> nab</w:t>
      </w:r>
      <w:r w:rsidR="00F34537">
        <w:rPr>
          <w:rFonts w:ascii="Times New Roman" w:hAnsi="Times New Roman" w:cs="Times New Roman"/>
          <w:sz w:val="24"/>
          <w:szCs w:val="24"/>
        </w:rPr>
        <w:t>avku opreme, službena putovanja te stručna usavršavanja zaposlenika.</w:t>
      </w:r>
    </w:p>
    <w:p w:rsidR="00706173" w:rsidRDefault="00706173" w:rsidP="00F3453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Prihodi od nefinancijske imovine (</w:t>
      </w:r>
      <w:r w:rsidR="00F9219D">
        <w:rPr>
          <w:rFonts w:ascii="Times New Roman" w:hAnsi="Times New Roman" w:cs="Times New Roman"/>
          <w:sz w:val="24"/>
          <w:szCs w:val="24"/>
        </w:rPr>
        <w:t>izvor financiranja</w:t>
      </w:r>
      <w:r w:rsidRPr="00241E61">
        <w:rPr>
          <w:rFonts w:ascii="Times New Roman" w:hAnsi="Times New Roman" w:cs="Times New Roman"/>
          <w:sz w:val="24"/>
          <w:szCs w:val="24"/>
        </w:rPr>
        <w:t xml:space="preserve"> 71) </w:t>
      </w:r>
      <w:r w:rsidR="0014479D">
        <w:rPr>
          <w:rFonts w:ascii="Times New Roman" w:hAnsi="Times New Roman" w:cs="Times New Roman"/>
          <w:sz w:val="24"/>
          <w:szCs w:val="24"/>
        </w:rPr>
        <w:t>preneseni su u 2025. godinu</w:t>
      </w:r>
      <w:r w:rsidRPr="00241E61"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A10514">
        <w:rPr>
          <w:rFonts w:ascii="Times New Roman" w:hAnsi="Times New Roman" w:cs="Times New Roman"/>
          <w:sz w:val="24"/>
          <w:szCs w:val="24"/>
        </w:rPr>
        <w:t>6</w:t>
      </w:r>
      <w:r w:rsidRPr="00241E61">
        <w:rPr>
          <w:rFonts w:ascii="Times New Roman" w:hAnsi="Times New Roman" w:cs="Times New Roman"/>
          <w:sz w:val="24"/>
          <w:szCs w:val="24"/>
        </w:rPr>
        <w:t>.</w:t>
      </w:r>
      <w:r w:rsidR="00A10514">
        <w:rPr>
          <w:rFonts w:ascii="Times New Roman" w:hAnsi="Times New Roman" w:cs="Times New Roman"/>
          <w:sz w:val="24"/>
          <w:szCs w:val="24"/>
        </w:rPr>
        <w:t>133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</w:t>
      </w:r>
      <w:r w:rsidR="00CD288F">
        <w:rPr>
          <w:rFonts w:ascii="Times New Roman" w:hAnsi="Times New Roman" w:cs="Times New Roman"/>
          <w:sz w:val="24"/>
          <w:szCs w:val="24"/>
        </w:rPr>
        <w:t xml:space="preserve">te </w:t>
      </w:r>
      <w:r w:rsidR="0014479D">
        <w:rPr>
          <w:rFonts w:ascii="Times New Roman" w:hAnsi="Times New Roman" w:cs="Times New Roman"/>
          <w:sz w:val="24"/>
          <w:szCs w:val="24"/>
        </w:rPr>
        <w:t xml:space="preserve">su </w:t>
      </w:r>
      <w:r w:rsidR="00CD288F">
        <w:rPr>
          <w:rFonts w:ascii="Times New Roman" w:hAnsi="Times New Roman" w:cs="Times New Roman"/>
          <w:sz w:val="24"/>
          <w:szCs w:val="24"/>
        </w:rPr>
        <w:t>osta</w:t>
      </w:r>
      <w:r w:rsidR="0014479D">
        <w:rPr>
          <w:rFonts w:ascii="Times New Roman" w:hAnsi="Times New Roman" w:cs="Times New Roman"/>
          <w:sz w:val="24"/>
          <w:szCs w:val="24"/>
        </w:rPr>
        <w:t>li</w:t>
      </w:r>
      <w:r w:rsidR="00CD288F">
        <w:rPr>
          <w:rFonts w:ascii="Times New Roman" w:hAnsi="Times New Roman" w:cs="Times New Roman"/>
          <w:sz w:val="24"/>
          <w:szCs w:val="24"/>
        </w:rPr>
        <w:t xml:space="preserve"> neutrošeni</w:t>
      </w:r>
      <w:r w:rsidR="00AD5FC2">
        <w:rPr>
          <w:rFonts w:ascii="Times New Roman" w:hAnsi="Times New Roman" w:cs="Times New Roman"/>
          <w:sz w:val="24"/>
          <w:szCs w:val="24"/>
        </w:rPr>
        <w:t xml:space="preserve"> </w:t>
      </w:r>
      <w:r w:rsidR="00726FA6">
        <w:rPr>
          <w:rFonts w:ascii="Times New Roman" w:hAnsi="Times New Roman" w:cs="Times New Roman"/>
          <w:sz w:val="24"/>
          <w:szCs w:val="24"/>
        </w:rPr>
        <w:t xml:space="preserve">u </w:t>
      </w:r>
      <w:r w:rsidR="00796716">
        <w:rPr>
          <w:rFonts w:ascii="Times New Roman" w:hAnsi="Times New Roman" w:cs="Times New Roman"/>
          <w:sz w:val="24"/>
          <w:szCs w:val="24"/>
        </w:rPr>
        <w:t>2025</w:t>
      </w:r>
      <w:r w:rsidR="00726FA6">
        <w:rPr>
          <w:rFonts w:ascii="Times New Roman" w:hAnsi="Times New Roman" w:cs="Times New Roman"/>
          <w:sz w:val="24"/>
          <w:szCs w:val="24"/>
        </w:rPr>
        <w:t>. godini. U 202</w:t>
      </w:r>
      <w:r w:rsidR="00A10514">
        <w:rPr>
          <w:rFonts w:ascii="Times New Roman" w:hAnsi="Times New Roman" w:cs="Times New Roman"/>
          <w:sz w:val="24"/>
          <w:szCs w:val="24"/>
        </w:rPr>
        <w:t>6</w:t>
      </w:r>
      <w:r w:rsidR="00726FA6">
        <w:rPr>
          <w:rFonts w:ascii="Times New Roman" w:hAnsi="Times New Roman" w:cs="Times New Roman"/>
          <w:sz w:val="24"/>
          <w:szCs w:val="24"/>
        </w:rPr>
        <w:t>.</w:t>
      </w:r>
      <w:r w:rsidR="00796716">
        <w:rPr>
          <w:rFonts w:ascii="Times New Roman" w:hAnsi="Times New Roman" w:cs="Times New Roman"/>
          <w:sz w:val="24"/>
          <w:szCs w:val="24"/>
        </w:rPr>
        <w:t xml:space="preserve"> godinu prenosi se iznos od </w:t>
      </w:r>
      <w:r w:rsidR="00984ED7">
        <w:rPr>
          <w:rFonts w:ascii="Times New Roman" w:hAnsi="Times New Roman" w:cs="Times New Roman"/>
          <w:sz w:val="24"/>
          <w:szCs w:val="24"/>
        </w:rPr>
        <w:t>16.</w:t>
      </w:r>
      <w:r w:rsidR="00A10514">
        <w:rPr>
          <w:rFonts w:ascii="Times New Roman" w:hAnsi="Times New Roman" w:cs="Times New Roman"/>
          <w:sz w:val="24"/>
          <w:szCs w:val="24"/>
        </w:rPr>
        <w:t>222,23</w:t>
      </w:r>
      <w:r w:rsidR="00796716">
        <w:rPr>
          <w:rFonts w:ascii="Times New Roman" w:hAnsi="Times New Roman" w:cs="Times New Roman"/>
          <w:sz w:val="24"/>
          <w:szCs w:val="24"/>
        </w:rPr>
        <w:t xml:space="preserve"> </w:t>
      </w:r>
      <w:r w:rsidR="00726FA6">
        <w:rPr>
          <w:rFonts w:ascii="Times New Roman" w:hAnsi="Times New Roman" w:cs="Times New Roman"/>
          <w:sz w:val="24"/>
          <w:szCs w:val="24"/>
        </w:rPr>
        <w:t>eura koji će biti utrošen u narednim razdobljima.</w:t>
      </w:r>
    </w:p>
    <w:p w:rsidR="00F94D3D" w:rsidRDefault="00F94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4970" w:rsidRDefault="00A44970" w:rsidP="00A44970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AC">
        <w:rPr>
          <w:rFonts w:ascii="Times New Roman" w:hAnsi="Times New Roman" w:cs="Times New Roman"/>
          <w:b/>
          <w:sz w:val="28"/>
          <w:szCs w:val="28"/>
        </w:rPr>
        <w:lastRenderedPageBreak/>
        <w:t>3.2. OBRAZLOŽENJE POSEBNOG DIJELA</w:t>
      </w:r>
    </w:p>
    <w:p w:rsidR="00A44970" w:rsidRDefault="00FC5790" w:rsidP="00ED40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t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>ekuć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 xml:space="preserve"> financijsk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planu 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>za 202</w:t>
      </w:r>
      <w:r w:rsidR="004877D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>. godinu p</w:t>
      </w:r>
      <w:r>
        <w:rPr>
          <w:rFonts w:ascii="Times New Roman" w:eastAsia="Times New Roman" w:hAnsi="Times New Roman" w:cs="Times New Roman"/>
          <w:sz w:val="24"/>
          <w:szCs w:val="24"/>
        </w:rPr>
        <w:t>lanirani su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 xml:space="preserve"> ukupn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 xml:space="preserve"> za sve aktivnosti u iznosu od </w:t>
      </w:r>
      <w:r w:rsidR="004877D2">
        <w:rPr>
          <w:rFonts w:ascii="Times New Roman" w:eastAsia="Times New Roman" w:hAnsi="Times New Roman" w:cs="Times New Roman"/>
          <w:sz w:val="24"/>
          <w:szCs w:val="24"/>
        </w:rPr>
        <w:t>356.218.804</w:t>
      </w:r>
      <w:r w:rsidR="00A44970" w:rsidRPr="0017063A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  <w:r w:rsidR="00622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Ostvareni rashodi u 2025. godini iznose 360.378.052,14 eura i veći su u odnosu na tekući plan za 1,17 %.</w:t>
      </w:r>
    </w:p>
    <w:p w:rsidR="00A44970" w:rsidRDefault="00A44970" w:rsidP="00FC5790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Ukupni rashodi usmjereni su prije svega na održavanje postojeće kvalitete u pružanju zdravstvene zaštite bolesnicima, te poboljšanje uvjeta funkcioniranja razvojem pojedinih djelatnost</w:t>
      </w:r>
      <w:r w:rsidR="002A23DA">
        <w:rPr>
          <w:rFonts w:ascii="Times New Roman" w:eastAsia="Times New Roman" w:hAnsi="Times New Roman" w:cs="Times New Roman"/>
          <w:sz w:val="24"/>
          <w:szCs w:val="24"/>
        </w:rPr>
        <w:t xml:space="preserve">i putem projekata financiranih sredstvima iz fondova </w:t>
      </w:r>
      <w:r>
        <w:rPr>
          <w:rFonts w:ascii="Times New Roman" w:eastAsia="Times New Roman" w:hAnsi="Times New Roman" w:cs="Times New Roman"/>
          <w:sz w:val="24"/>
          <w:szCs w:val="24"/>
        </w:rPr>
        <w:t>Europske unije.</w:t>
      </w:r>
    </w:p>
    <w:p w:rsidR="00656C31" w:rsidRDefault="00656C31" w:rsidP="008551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70" w:rsidRPr="0017063A" w:rsidRDefault="00A44970" w:rsidP="00855106">
      <w:pPr>
        <w:widowControl w:val="0"/>
        <w:spacing w:before="12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3E8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Ustanove</w:t>
      </w:r>
    </w:p>
    <w:tbl>
      <w:tblPr>
        <w:tblOverlap w:val="never"/>
        <w:tblW w:w="94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701"/>
        <w:gridCol w:w="1134"/>
        <w:gridCol w:w="1045"/>
      </w:tblGrid>
      <w:tr w:rsidR="00A44970" w:rsidRPr="0017063A" w:rsidTr="005953B0">
        <w:trPr>
          <w:trHeight w:hRule="exact" w:val="114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970" w:rsidRPr="0017063A" w:rsidRDefault="00A44970" w:rsidP="00A4497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0F42C2" w:rsidRDefault="00A44970" w:rsidP="0014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 w:rsidR="00015B64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43D23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0F42C2" w:rsidRDefault="00A44970" w:rsidP="00150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Tekući plan 202</w:t>
            </w:r>
            <w:r w:rsidR="00143D23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0F42C2" w:rsidRDefault="00015B64" w:rsidP="0014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143D23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44970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0F42C2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A44970" w:rsidRPr="000F42C2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 w:rsidR="00015B64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3310F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4970" w:rsidRPr="000F42C2" w:rsidRDefault="0086630E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/T</w:t>
            </w:r>
            <w:r w:rsidR="00A44970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ekući plan</w:t>
            </w:r>
          </w:p>
          <w:p w:rsidR="00A44970" w:rsidRPr="000F42C2" w:rsidRDefault="00A44970" w:rsidP="000331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3310F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0F42C2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A44970" w:rsidRPr="000F42C2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</w:p>
          <w:p w:rsidR="00A44970" w:rsidRPr="000F42C2" w:rsidRDefault="00A44970" w:rsidP="000F42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F42C2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0F42C2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4970" w:rsidRPr="0017063A" w:rsidTr="005953B0">
        <w:trPr>
          <w:trHeight w:hRule="exact" w:val="5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26395-Klinički bolnički centar Sestre milosrdnice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143D23" w:rsidP="00A623E8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325.760.329,80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left="73"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356.218.804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360.378.052,14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right="3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101,17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F42C2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110,63</w:t>
            </w:r>
          </w:p>
        </w:tc>
      </w:tr>
      <w:tr w:rsidR="00A44970" w:rsidRPr="0017063A" w:rsidTr="005953B0">
        <w:trPr>
          <w:trHeight w:hRule="exact" w:val="106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3602-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INVESTICIJE U ZDRAVSTVENU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INFRASTRUKTURU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143D23" w:rsidP="00A44970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143D23">
              <w:rPr>
                <w:rFonts w:ascii="Times New Roman" w:eastAsia="Times New Roman" w:hAnsi="Times New Roman" w:cs="Times New Roman"/>
              </w:rPr>
              <w:t>39.302.345,25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left="73"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28.049.974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30.683.758,46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right="3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109,39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F42C2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78,07</w:t>
            </w:r>
          </w:p>
        </w:tc>
      </w:tr>
      <w:tr w:rsidR="00A44970" w:rsidRPr="0017063A" w:rsidTr="005953B0">
        <w:trPr>
          <w:trHeight w:hRule="exact" w:val="11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3605-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SIGURNOST GRAĐANA I PRAVA NA ZDRAVSTVENE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143D23" w:rsidP="00170248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286.457.984,55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tabs>
                <w:tab w:val="left" w:pos="1065"/>
              </w:tabs>
              <w:spacing w:after="0" w:line="240" w:lineRule="auto"/>
              <w:ind w:left="73"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328.168.830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329.694.293,68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3310F" w:rsidP="00A44970">
            <w:pPr>
              <w:widowControl w:val="0"/>
              <w:spacing w:after="0" w:line="240" w:lineRule="auto"/>
              <w:ind w:right="3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100,46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5953B0" w:rsidRDefault="000F42C2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115,09</w:t>
            </w:r>
          </w:p>
        </w:tc>
      </w:tr>
    </w:tbl>
    <w:p w:rsidR="0017063A" w:rsidRPr="0017063A" w:rsidRDefault="0017063A" w:rsidP="0017063A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hr-HR" w:bidi="hr-HR"/>
        </w:rPr>
      </w:pPr>
    </w:p>
    <w:p w:rsidR="00AB4B2C" w:rsidRDefault="00AB4B2C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18"/>
    </w:p>
    <w:p w:rsidR="001500B8" w:rsidRDefault="001500B8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3A" w:rsidRDefault="0017063A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>3602 INVESTICIJE U ZDRAVSTVENU INFRASTRUKTURU</w:t>
      </w:r>
      <w:bookmarkEnd w:id="0"/>
    </w:p>
    <w:p w:rsidR="00344B13" w:rsidRDefault="00344B13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B13">
        <w:rPr>
          <w:rFonts w:ascii="Times New Roman" w:eastAsia="Times New Roman" w:hAnsi="Times New Roman" w:cs="Times New Roman"/>
          <w:b/>
          <w:bCs/>
          <w:sz w:val="24"/>
          <w:szCs w:val="24"/>
        </w:rPr>
        <w:t>Cilj 1. Zaštita, očuvanje i unapređenje zdravlja</w:t>
      </w:r>
    </w:p>
    <w:p w:rsidR="0017063A" w:rsidRPr="0017063A" w:rsidRDefault="0017063A" w:rsidP="0017063A">
      <w:pPr>
        <w:widowControl w:val="0"/>
        <w:spacing w:after="366" w:line="14" w:lineRule="exact"/>
        <w:ind w:left="142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</w:p>
    <w:p w:rsidR="0017063A" w:rsidRDefault="00344B13" w:rsidP="008175AF">
      <w:pPr>
        <w:keepNext/>
        <w:keepLines/>
        <w:widowControl w:val="0"/>
        <w:spacing w:after="100" w:line="240" w:lineRule="auto"/>
        <w:ind w:right="1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19"/>
      <w:r w:rsidRPr="00917D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Aktivnost </w:t>
      </w:r>
      <w:r w:rsidR="0017063A" w:rsidRPr="00917D98">
        <w:rPr>
          <w:rFonts w:ascii="Times New Roman" w:eastAsia="Times New Roman" w:hAnsi="Times New Roman" w:cs="Times New Roman"/>
          <w:b/>
          <w:bCs/>
          <w:sz w:val="28"/>
          <w:szCs w:val="28"/>
        </w:rPr>
        <w:t>K895002 - IZRAVNA KAPITALNA ULAGANJA</w:t>
      </w:r>
      <w:bookmarkEnd w:id="1"/>
    </w:p>
    <w:p w:rsidR="00A44970" w:rsidRPr="0017063A" w:rsidRDefault="00A44970" w:rsidP="00A44970">
      <w:pPr>
        <w:keepNext/>
        <w:keepLines/>
        <w:widowControl w:val="0"/>
        <w:spacing w:before="240"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bookmarkStart w:id="2" w:name="bookmark120"/>
      <w:r w:rsidRPr="0017063A">
        <w:rPr>
          <w:rFonts w:ascii="Times New Roman" w:eastAsia="Times New Roman" w:hAnsi="Times New Roman" w:cs="Times New Roman"/>
          <w:b/>
          <w:bCs/>
        </w:rPr>
        <w:t>Zakonske i druge pravne osnove</w:t>
      </w:r>
      <w:bookmarkEnd w:id="2"/>
    </w:p>
    <w:p w:rsidR="00A44970" w:rsidRDefault="00A44970" w:rsidP="00A44970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sz w:val="24"/>
          <w:szCs w:val="24"/>
        </w:rPr>
        <w:t>Zakon o zdravstvenoj zaštiti; Zakon o obveznom zdravstvenom osiguranju; Nacionalni plan razvoja zdravstva od 2021. do 2027. godine</w:t>
      </w:r>
      <w:bookmarkStart w:id="3" w:name="bookmark121"/>
    </w:p>
    <w:p w:rsidR="004242ED" w:rsidRPr="004242ED" w:rsidRDefault="004242ED" w:rsidP="001D714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9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760"/>
        <w:gridCol w:w="1418"/>
        <w:gridCol w:w="1701"/>
        <w:gridCol w:w="1276"/>
        <w:gridCol w:w="1234"/>
      </w:tblGrid>
      <w:tr w:rsidR="005E58E4" w:rsidRPr="0017063A" w:rsidTr="00A95145">
        <w:trPr>
          <w:trHeight w:hRule="exact" w:val="111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3"/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14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143D23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0331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Tekući plan 202</w:t>
            </w:r>
            <w:r w:rsidR="0003310F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0331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03310F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03310F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/Tekući plan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3310F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5E58E4" w:rsidRPr="0017063A" w:rsidRDefault="005E58E4" w:rsidP="00B852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852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B8524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C6236C">
        <w:trPr>
          <w:trHeight w:hRule="exact" w:val="124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17063A" w:rsidP="0017063A">
            <w:pPr>
              <w:widowControl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C6236C">
              <w:rPr>
                <w:rFonts w:ascii="Times New Roman" w:eastAsia="Times New Roman" w:hAnsi="Times New Roman" w:cs="Times New Roman"/>
              </w:rPr>
              <w:t>K895002-</w:t>
            </w:r>
          </w:p>
          <w:p w:rsidR="0017063A" w:rsidRPr="00C6236C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6236C">
              <w:rPr>
                <w:rFonts w:ascii="Times New Roman" w:eastAsia="Times New Roman" w:hAnsi="Times New Roman" w:cs="Times New Roman"/>
              </w:rPr>
              <w:t>IZRAVNA KAPITALNA ULAGANJA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143D23" w:rsidP="0017063A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21.634.550,81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03310F" w:rsidP="0017063A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9.428.714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03310F" w:rsidP="0017063A">
            <w:pPr>
              <w:widowControl w:val="0"/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12.174.165,10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03310F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129,12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C6236C" w:rsidRDefault="000F42C2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56,27</w:t>
            </w:r>
          </w:p>
        </w:tc>
      </w:tr>
    </w:tbl>
    <w:p w:rsidR="0017063A" w:rsidRPr="0017063A" w:rsidRDefault="0017063A" w:rsidP="0017063A">
      <w:pPr>
        <w:keepNext/>
        <w:keepLines/>
        <w:widowControl w:val="0"/>
        <w:spacing w:after="1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:rsidR="003E24D3" w:rsidRDefault="00C91629" w:rsidP="003E24D3">
      <w:pPr>
        <w:spacing w:before="120" w:after="0" w:line="240" w:lineRule="auto"/>
        <w:ind w:right="9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Tijekom 2025. godine p</w:t>
      </w:r>
      <w:r w:rsidR="000C76AA">
        <w:rPr>
          <w:rFonts w:ascii="Times New Roman" w:eastAsia="Times New Roman" w:hAnsi="Times New Roman" w:cs="Times New Roman"/>
          <w:sz w:val="24"/>
          <w:szCs w:val="24"/>
        </w:rPr>
        <w:t xml:space="preserve">lanirana sredstva na razini aktivnosti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više puta su smanjivana, </w:t>
      </w:r>
      <w:r w:rsidR="000C76AA">
        <w:rPr>
          <w:rFonts w:ascii="Times New Roman" w:eastAsia="Times New Roman" w:hAnsi="Times New Roman" w:cs="Times New Roman"/>
          <w:sz w:val="24"/>
          <w:szCs w:val="24"/>
        </w:rPr>
        <w:t xml:space="preserve">te tekući plan iznosi 9.428.714 eura.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navedenog smanjenja došlo je najvećim dijelom na izvoru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financirnja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 Opći prihodi i primici gdje su između ostalog stavljene izvan snage suglasnosti Ministarstva zdravstva za financiranje s proračunske pozicije hitne intervencije na </w:t>
      </w:r>
      <w:r w:rsidR="003E24D3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gradama i opremi za 6 uređaja, a uslijed obveze postizanja dodatnih ušteda prema uputama Ministarstva financija</w:t>
      </w:r>
      <w:r w:rsidR="003E24D3">
        <w:rPr>
          <w:rFonts w:ascii="Times New Roman" w:eastAsia="Times New Roman" w:hAnsi="Times New Roman" w:cs="Times New Roman"/>
          <w:sz w:val="24"/>
          <w:szCs w:val="24"/>
        </w:rPr>
        <w:t xml:space="preserve"> i za koje će se nastojati osigurati financijska sredstva u 2026. godini.</w:t>
      </w:r>
      <w:r w:rsidR="003E24D3" w:rsidRPr="003E24D3">
        <w:t xml:space="preserve"> </w:t>
      </w:r>
      <w:r w:rsidR="003E24D3" w:rsidRPr="003E24D3">
        <w:rPr>
          <w:rFonts w:ascii="Times New Roman" w:hAnsi="Times New Roman" w:cs="Times New Roman"/>
          <w:sz w:val="24"/>
          <w:szCs w:val="24"/>
        </w:rPr>
        <w:t>Osim toga, u 2026. godinu prebačen je i dio iznosa za izgradnju bunkera za linearne a</w:t>
      </w:r>
      <w:r w:rsidR="00CA5984">
        <w:rPr>
          <w:rFonts w:ascii="Times New Roman" w:hAnsi="Times New Roman" w:cs="Times New Roman"/>
          <w:sz w:val="24"/>
          <w:szCs w:val="24"/>
        </w:rPr>
        <w:t>kceleratore. Istovremeno je na izvoru financiranja</w:t>
      </w:r>
      <w:r w:rsidR="003E24D3" w:rsidRPr="003E24D3">
        <w:rPr>
          <w:rFonts w:ascii="Times New Roman" w:hAnsi="Times New Roman" w:cs="Times New Roman"/>
          <w:sz w:val="24"/>
          <w:szCs w:val="24"/>
        </w:rPr>
        <w:t xml:space="preserve"> 31 Vlastiti prihodi povećan </w:t>
      </w:r>
      <w:r w:rsidR="003E24D3">
        <w:rPr>
          <w:rFonts w:ascii="Times New Roman" w:hAnsi="Times New Roman" w:cs="Times New Roman"/>
          <w:sz w:val="24"/>
          <w:szCs w:val="24"/>
        </w:rPr>
        <w:t xml:space="preserve">planirani </w:t>
      </w:r>
      <w:r w:rsidR="003E24D3" w:rsidRPr="003E24D3">
        <w:rPr>
          <w:rFonts w:ascii="Times New Roman" w:hAnsi="Times New Roman" w:cs="Times New Roman"/>
          <w:sz w:val="24"/>
          <w:szCs w:val="24"/>
        </w:rPr>
        <w:t xml:space="preserve">iznos temeljem </w:t>
      </w:r>
      <w:r w:rsidR="003E24D3">
        <w:rPr>
          <w:rFonts w:ascii="Times New Roman" w:hAnsi="Times New Roman" w:cs="Times New Roman"/>
          <w:sz w:val="24"/>
          <w:szCs w:val="24"/>
        </w:rPr>
        <w:t>i</w:t>
      </w:r>
      <w:r w:rsidR="003E24D3" w:rsidRPr="003E24D3">
        <w:rPr>
          <w:rFonts w:ascii="Times New Roman" w:hAnsi="Times New Roman" w:cs="Times New Roman"/>
          <w:sz w:val="24"/>
          <w:szCs w:val="24"/>
        </w:rPr>
        <w:t>zvršenja</w:t>
      </w:r>
      <w:r w:rsidR="001F014D">
        <w:rPr>
          <w:rFonts w:ascii="Times New Roman" w:hAnsi="Times New Roman" w:cs="Times New Roman"/>
          <w:sz w:val="24"/>
          <w:szCs w:val="24"/>
        </w:rPr>
        <w:t xml:space="preserve"> u prethodnom razdoblju</w:t>
      </w:r>
      <w:r w:rsidR="003E24D3" w:rsidRPr="003E24D3">
        <w:rPr>
          <w:rFonts w:ascii="Times New Roman" w:hAnsi="Times New Roman" w:cs="Times New Roman"/>
          <w:sz w:val="24"/>
          <w:szCs w:val="24"/>
        </w:rPr>
        <w:t>.</w:t>
      </w:r>
    </w:p>
    <w:p w:rsidR="00B1268E" w:rsidRPr="003E24D3" w:rsidRDefault="00B1268E" w:rsidP="003E24D3">
      <w:pPr>
        <w:spacing w:before="120" w:after="0" w:line="240" w:lineRule="auto"/>
        <w:ind w:right="9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prema uputi Ministarstva zdravstva sva knjiženja i plaćanja koja se odnose na izgradnju bunkera za linearne akceleratore na kraju 2025. godine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preknjižena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s izvora financiranja 11 Opći prihodi i primici </w:t>
      </w:r>
      <w:r w:rsidR="001F014D">
        <w:rPr>
          <w:rFonts w:ascii="Times New Roman" w:hAnsi="Times New Roman" w:cs="Times New Roman"/>
          <w:sz w:val="24"/>
          <w:szCs w:val="24"/>
        </w:rPr>
        <w:t xml:space="preserve">na izvor financiranja 581 </w:t>
      </w:r>
      <w:r>
        <w:rPr>
          <w:rFonts w:ascii="Times New Roman" w:hAnsi="Times New Roman" w:cs="Times New Roman"/>
          <w:sz w:val="24"/>
          <w:szCs w:val="24"/>
        </w:rPr>
        <w:t>Mehanizam za oporavak i otpornost – bespovratna sredstva.</w:t>
      </w:r>
    </w:p>
    <w:p w:rsidR="005F7126" w:rsidRDefault="00B1268E" w:rsidP="003E24D3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konačnici, i</w:t>
      </w:r>
      <w:r w:rsidR="003E24D3">
        <w:rPr>
          <w:rFonts w:ascii="Times New Roman" w:eastAsia="Times New Roman" w:hAnsi="Times New Roman" w:cs="Times New Roman"/>
          <w:sz w:val="24"/>
          <w:szCs w:val="24"/>
        </w:rPr>
        <w:t xml:space="preserve">zvršenje planiranog iznosa </w:t>
      </w:r>
      <w:r w:rsidR="003969ED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ovoj aktivnosti veće je za</w:t>
      </w:r>
      <w:r w:rsidR="005F7126" w:rsidRPr="005F7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586">
        <w:rPr>
          <w:rFonts w:ascii="Times New Roman" w:eastAsia="Times New Roman" w:hAnsi="Times New Roman" w:cs="Times New Roman"/>
          <w:sz w:val="24"/>
          <w:szCs w:val="24"/>
        </w:rPr>
        <w:t>29,12</w:t>
      </w:r>
      <w:r w:rsidR="005F7126" w:rsidRPr="005F7126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1B58AE" w:rsidRPr="00917D98" w:rsidRDefault="002617F6" w:rsidP="003E24D3">
      <w:pPr>
        <w:pStyle w:val="Tijeloteksta"/>
        <w:spacing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>Na</w:t>
      </w:r>
      <w:r w:rsidR="005F7126" w:rsidRPr="00EE7008">
        <w:rPr>
          <w:sz w:val="24"/>
          <w:szCs w:val="24"/>
        </w:rPr>
        <w:t xml:space="preserve"> </w:t>
      </w:r>
      <w:r w:rsidR="005F7126" w:rsidRPr="00662D16">
        <w:rPr>
          <w:b/>
          <w:sz w:val="24"/>
          <w:szCs w:val="24"/>
        </w:rPr>
        <w:t>izvor</w:t>
      </w:r>
      <w:r>
        <w:rPr>
          <w:b/>
          <w:sz w:val="24"/>
          <w:szCs w:val="24"/>
        </w:rPr>
        <w:t>u</w:t>
      </w:r>
      <w:r w:rsidR="005F7126" w:rsidRPr="00662D16">
        <w:rPr>
          <w:b/>
          <w:sz w:val="24"/>
          <w:szCs w:val="24"/>
        </w:rPr>
        <w:t xml:space="preserve"> financiranja 11 Opći prihodi i primici</w:t>
      </w:r>
      <w:r w:rsidR="005F7126" w:rsidRPr="00EE7008">
        <w:rPr>
          <w:sz w:val="24"/>
          <w:szCs w:val="24"/>
        </w:rPr>
        <w:t xml:space="preserve"> je temeljem suglasnosti Ministarstva zdravstva za izravna kapitalna ulaganja utrošeno ukupno </w:t>
      </w:r>
      <w:r w:rsidR="00AE1586">
        <w:rPr>
          <w:sz w:val="24"/>
          <w:szCs w:val="24"/>
        </w:rPr>
        <w:t>7.186.726,79</w:t>
      </w:r>
      <w:r w:rsidR="005F7126" w:rsidRPr="00EE7008">
        <w:rPr>
          <w:sz w:val="24"/>
          <w:szCs w:val="24"/>
        </w:rPr>
        <w:t xml:space="preserve"> eura, odnosno </w:t>
      </w:r>
      <w:r w:rsidR="00AE1586">
        <w:rPr>
          <w:sz w:val="24"/>
          <w:szCs w:val="24"/>
        </w:rPr>
        <w:t>0</w:t>
      </w:r>
      <w:r w:rsidR="00A840AF">
        <w:rPr>
          <w:sz w:val="24"/>
          <w:szCs w:val="24"/>
        </w:rPr>
        <w:t>,02</w:t>
      </w:r>
      <w:r w:rsidR="005F7126">
        <w:rPr>
          <w:sz w:val="24"/>
          <w:szCs w:val="24"/>
        </w:rPr>
        <w:t xml:space="preserve"> % manje od </w:t>
      </w:r>
      <w:r w:rsidR="0072153A">
        <w:rPr>
          <w:sz w:val="24"/>
          <w:szCs w:val="24"/>
        </w:rPr>
        <w:t>tekućeg plana</w:t>
      </w:r>
      <w:r w:rsidR="005F7126">
        <w:rPr>
          <w:sz w:val="24"/>
          <w:szCs w:val="24"/>
        </w:rPr>
        <w:t>.</w:t>
      </w:r>
      <w:r w:rsidR="005F7126" w:rsidRPr="00EE7008">
        <w:rPr>
          <w:sz w:val="24"/>
          <w:szCs w:val="24"/>
        </w:rPr>
        <w:t xml:space="preserve"> </w:t>
      </w:r>
      <w:r w:rsidR="001B58AE">
        <w:rPr>
          <w:sz w:val="24"/>
          <w:szCs w:val="24"/>
        </w:rPr>
        <w:t>Na skupinu konta 42 - Rashodi</w:t>
      </w:r>
      <w:r w:rsidR="001B58AE" w:rsidRPr="001B58AE">
        <w:rPr>
          <w:sz w:val="24"/>
          <w:szCs w:val="24"/>
        </w:rPr>
        <w:t xml:space="preserve"> za nabavu</w:t>
      </w:r>
      <w:r w:rsidR="001B58AE">
        <w:rPr>
          <w:sz w:val="24"/>
          <w:szCs w:val="24"/>
        </w:rPr>
        <w:t xml:space="preserve"> proizvedene dugotrajne imovine odnosi se 62,91 % utrošenog iznosa i to najvećim dijelom na </w:t>
      </w:r>
      <w:r w:rsidR="001B58AE" w:rsidRPr="001B58AE">
        <w:rPr>
          <w:sz w:val="24"/>
          <w:szCs w:val="24"/>
        </w:rPr>
        <w:t xml:space="preserve">nabavku medicinske opreme na klinikama/zavodima kao što je oftalmološki operacijski mikroskop, </w:t>
      </w:r>
      <w:proofErr w:type="spellStart"/>
      <w:r w:rsidR="001B58AE" w:rsidRPr="001B58AE">
        <w:rPr>
          <w:sz w:val="24"/>
          <w:szCs w:val="24"/>
        </w:rPr>
        <w:t>laparoskopski</w:t>
      </w:r>
      <w:proofErr w:type="spellEnd"/>
      <w:r w:rsidR="001B58AE" w:rsidRPr="001B58AE">
        <w:rPr>
          <w:sz w:val="24"/>
          <w:szCs w:val="24"/>
        </w:rPr>
        <w:t xml:space="preserve"> stup</w:t>
      </w:r>
      <w:r w:rsidR="00B1268E">
        <w:rPr>
          <w:sz w:val="24"/>
          <w:szCs w:val="24"/>
        </w:rPr>
        <w:t>, 4K endoskopski stup s</w:t>
      </w:r>
      <w:r w:rsidR="001B58AE" w:rsidRPr="001B58AE">
        <w:rPr>
          <w:sz w:val="24"/>
          <w:szCs w:val="24"/>
        </w:rPr>
        <w:t xml:space="preserve"> </w:t>
      </w:r>
      <w:proofErr w:type="spellStart"/>
      <w:r w:rsidR="001B58AE" w:rsidRPr="001B58AE">
        <w:rPr>
          <w:sz w:val="24"/>
          <w:szCs w:val="24"/>
        </w:rPr>
        <w:t>endokranijalnim</w:t>
      </w:r>
      <w:proofErr w:type="spellEnd"/>
      <w:r w:rsidR="001B58AE" w:rsidRPr="001B58AE">
        <w:rPr>
          <w:sz w:val="24"/>
          <w:szCs w:val="24"/>
        </w:rPr>
        <w:t xml:space="preserve"> </w:t>
      </w:r>
      <w:r w:rsidR="001F014D">
        <w:rPr>
          <w:sz w:val="24"/>
          <w:szCs w:val="24"/>
        </w:rPr>
        <w:t>ultrazvuk</w:t>
      </w:r>
      <w:r w:rsidR="001B58AE" w:rsidRPr="001B58AE">
        <w:rPr>
          <w:sz w:val="24"/>
          <w:szCs w:val="24"/>
        </w:rPr>
        <w:t>om, uređaj za vakumski asistiranu biopsiju dojke, parni sterilizator, modularni hladnjak za mrtvačnic</w:t>
      </w:r>
      <w:r w:rsidR="00B1268E">
        <w:rPr>
          <w:sz w:val="24"/>
          <w:szCs w:val="24"/>
        </w:rPr>
        <w:t>u</w:t>
      </w:r>
      <w:r w:rsidR="001B58AE" w:rsidRPr="001B58AE">
        <w:rPr>
          <w:sz w:val="24"/>
          <w:szCs w:val="24"/>
        </w:rPr>
        <w:t xml:space="preserve">, visokotlačni parni sterilizator, zaštitni sustav od rendgenskog zračenja, </w:t>
      </w:r>
      <w:proofErr w:type="spellStart"/>
      <w:r w:rsidR="001B58AE" w:rsidRPr="001B58AE">
        <w:rPr>
          <w:sz w:val="24"/>
          <w:szCs w:val="24"/>
        </w:rPr>
        <w:t>fiberobronhoskop</w:t>
      </w:r>
      <w:proofErr w:type="spellEnd"/>
      <w:r w:rsidR="001B58AE" w:rsidRPr="001B58AE">
        <w:rPr>
          <w:sz w:val="24"/>
          <w:szCs w:val="24"/>
        </w:rPr>
        <w:t xml:space="preserve">, endoskopski uređaj za postojeći endoskopski stup, integracija endoskopske opreme i modularni nosači, </w:t>
      </w:r>
      <w:r w:rsidR="00CA5984">
        <w:rPr>
          <w:sz w:val="24"/>
          <w:szCs w:val="24"/>
        </w:rPr>
        <w:t>ultrazvučni</w:t>
      </w:r>
      <w:r w:rsidR="001B58AE" w:rsidRPr="001B58AE">
        <w:rPr>
          <w:sz w:val="24"/>
          <w:szCs w:val="24"/>
        </w:rPr>
        <w:t xml:space="preserve"> </w:t>
      </w:r>
      <w:proofErr w:type="spellStart"/>
      <w:r w:rsidR="001F014D">
        <w:rPr>
          <w:sz w:val="24"/>
          <w:szCs w:val="24"/>
        </w:rPr>
        <w:t>c</w:t>
      </w:r>
      <w:r w:rsidR="001B58AE" w:rsidRPr="001B58AE">
        <w:rPr>
          <w:sz w:val="24"/>
          <w:szCs w:val="24"/>
        </w:rPr>
        <w:t>olor</w:t>
      </w:r>
      <w:proofErr w:type="spellEnd"/>
      <w:r w:rsidR="001B58AE" w:rsidRPr="001B58AE">
        <w:rPr>
          <w:sz w:val="24"/>
          <w:szCs w:val="24"/>
        </w:rPr>
        <w:t xml:space="preserve"> </w:t>
      </w:r>
      <w:proofErr w:type="spellStart"/>
      <w:r w:rsidR="001F014D">
        <w:rPr>
          <w:sz w:val="24"/>
          <w:szCs w:val="24"/>
        </w:rPr>
        <w:t>d</w:t>
      </w:r>
      <w:r w:rsidR="001B58AE" w:rsidRPr="001B58AE">
        <w:rPr>
          <w:sz w:val="24"/>
          <w:szCs w:val="24"/>
        </w:rPr>
        <w:t>oppler</w:t>
      </w:r>
      <w:proofErr w:type="spellEnd"/>
      <w:r w:rsidR="001B58AE" w:rsidRPr="001B58AE">
        <w:rPr>
          <w:sz w:val="24"/>
          <w:szCs w:val="24"/>
        </w:rPr>
        <w:t xml:space="preserve"> uređaj, endoskopska i urologijska kirurška oprema s pratećom vizualizacijskom opremom, set motoriziranih kirurških instrumenata</w:t>
      </w:r>
      <w:r w:rsidR="003969ED">
        <w:rPr>
          <w:sz w:val="24"/>
          <w:szCs w:val="24"/>
        </w:rPr>
        <w:t xml:space="preserve"> za ortopediju i traumatologiju,</w:t>
      </w:r>
      <w:r w:rsidR="001B58AE">
        <w:rPr>
          <w:sz w:val="24"/>
          <w:szCs w:val="24"/>
        </w:rPr>
        <w:t xml:space="preserve"> zatim na nabavku uredske opreme i namještaja </w:t>
      </w:r>
      <w:r w:rsidR="003969ED">
        <w:rPr>
          <w:sz w:val="24"/>
          <w:szCs w:val="24"/>
        </w:rPr>
        <w:t xml:space="preserve">kao što je </w:t>
      </w:r>
      <w:r w:rsidR="001B58AE">
        <w:rPr>
          <w:sz w:val="24"/>
          <w:szCs w:val="24"/>
        </w:rPr>
        <w:t>preklopnik TIP1 i TIP2</w:t>
      </w:r>
      <w:r w:rsidR="00B1268E">
        <w:rPr>
          <w:sz w:val="24"/>
          <w:szCs w:val="24"/>
        </w:rPr>
        <w:t>,</w:t>
      </w:r>
      <w:r w:rsidR="001B58AE">
        <w:rPr>
          <w:sz w:val="24"/>
          <w:szCs w:val="24"/>
        </w:rPr>
        <w:t xml:space="preserve"> uredski namještaj, elektronički i električni</w:t>
      </w:r>
      <w:r w:rsidR="00B1268E">
        <w:rPr>
          <w:sz w:val="24"/>
          <w:szCs w:val="24"/>
        </w:rPr>
        <w:t xml:space="preserve"> uređaj</w:t>
      </w:r>
      <w:r w:rsidR="003969ED">
        <w:rPr>
          <w:sz w:val="24"/>
          <w:szCs w:val="24"/>
        </w:rPr>
        <w:t>i</w:t>
      </w:r>
      <w:r w:rsidR="008B5ABC">
        <w:rPr>
          <w:sz w:val="24"/>
          <w:szCs w:val="24"/>
        </w:rPr>
        <w:t xml:space="preserve">, opremu za održavanje i zaštitu </w:t>
      </w:r>
      <w:r w:rsidR="003969ED">
        <w:rPr>
          <w:sz w:val="24"/>
          <w:szCs w:val="24"/>
        </w:rPr>
        <w:t xml:space="preserve">kao što je </w:t>
      </w:r>
      <w:r w:rsidR="008B5ABC">
        <w:rPr>
          <w:sz w:val="24"/>
          <w:szCs w:val="24"/>
        </w:rPr>
        <w:t>električ</w:t>
      </w:r>
      <w:r w:rsidR="00B1268E">
        <w:rPr>
          <w:sz w:val="24"/>
          <w:szCs w:val="24"/>
        </w:rPr>
        <w:t>n</w:t>
      </w:r>
      <w:r w:rsidR="008B5ABC">
        <w:rPr>
          <w:sz w:val="24"/>
          <w:szCs w:val="24"/>
        </w:rPr>
        <w:t>i agregat, zaštitna vrata za bunke</w:t>
      </w:r>
      <w:r w:rsidR="00B1268E">
        <w:rPr>
          <w:sz w:val="24"/>
          <w:szCs w:val="24"/>
        </w:rPr>
        <w:t>r linearnog akceleratora, obnova</w:t>
      </w:r>
      <w:r w:rsidR="008B5ABC">
        <w:rPr>
          <w:sz w:val="24"/>
          <w:szCs w:val="24"/>
        </w:rPr>
        <w:t xml:space="preserve"> sustava za klimatizaciju operaci</w:t>
      </w:r>
      <w:r w:rsidR="00B1268E">
        <w:rPr>
          <w:sz w:val="24"/>
          <w:szCs w:val="24"/>
        </w:rPr>
        <w:t>jsk</w:t>
      </w:r>
      <w:r w:rsidR="008B5ABC">
        <w:rPr>
          <w:sz w:val="24"/>
          <w:szCs w:val="24"/>
        </w:rPr>
        <w:t>og bloka u Klinici za traumatologiju</w:t>
      </w:r>
      <w:r w:rsidR="00B1268E">
        <w:rPr>
          <w:sz w:val="24"/>
          <w:szCs w:val="24"/>
        </w:rPr>
        <w:t>,</w:t>
      </w:r>
      <w:r w:rsidR="008B5ABC">
        <w:rPr>
          <w:sz w:val="24"/>
          <w:szCs w:val="24"/>
        </w:rPr>
        <w:t xml:space="preserve"> te ulaganja u računalne programe kao što je računalni sustav </w:t>
      </w:r>
      <w:r w:rsidR="008B5ABC" w:rsidRPr="00917D98">
        <w:rPr>
          <w:sz w:val="24"/>
          <w:szCs w:val="24"/>
        </w:rPr>
        <w:t xml:space="preserve">za </w:t>
      </w:r>
      <w:proofErr w:type="spellStart"/>
      <w:r w:rsidR="00917D98" w:rsidRPr="00917D98">
        <w:rPr>
          <w:sz w:val="24"/>
          <w:szCs w:val="24"/>
        </w:rPr>
        <w:t>preoperativno</w:t>
      </w:r>
      <w:proofErr w:type="spellEnd"/>
      <w:r w:rsidR="00917D98">
        <w:rPr>
          <w:sz w:val="24"/>
          <w:szCs w:val="24"/>
        </w:rPr>
        <w:t xml:space="preserve"> </w:t>
      </w:r>
      <w:r w:rsidR="008B5ABC" w:rsidRPr="00917D98">
        <w:rPr>
          <w:sz w:val="24"/>
          <w:szCs w:val="24"/>
        </w:rPr>
        <w:t xml:space="preserve">planiranje operacija kuka i koljena. </w:t>
      </w:r>
    </w:p>
    <w:p w:rsidR="00455D5E" w:rsidRDefault="00D2614E" w:rsidP="00B1268E">
      <w:pPr>
        <w:pStyle w:val="Tijeloteksta"/>
        <w:spacing w:before="120" w:after="0"/>
        <w:ind w:firstLine="709"/>
        <w:rPr>
          <w:sz w:val="24"/>
          <w:szCs w:val="24"/>
        </w:rPr>
      </w:pPr>
      <w:r w:rsidRPr="00917D98">
        <w:rPr>
          <w:sz w:val="24"/>
          <w:szCs w:val="24"/>
        </w:rPr>
        <w:t xml:space="preserve"> </w:t>
      </w:r>
      <w:r w:rsidR="008B5ABC" w:rsidRPr="00917D98">
        <w:rPr>
          <w:sz w:val="24"/>
          <w:szCs w:val="24"/>
        </w:rPr>
        <w:t>Na</w:t>
      </w:r>
      <w:r w:rsidR="00455D5E" w:rsidRPr="00917D98">
        <w:rPr>
          <w:sz w:val="24"/>
          <w:szCs w:val="24"/>
        </w:rPr>
        <w:t xml:space="preserve"> skupinu konta 45 Rashodi za dodatna ulaganja na nefinancijskoj</w:t>
      </w:r>
      <w:r w:rsidR="00455D5E" w:rsidRPr="00EE7008">
        <w:rPr>
          <w:sz w:val="24"/>
          <w:szCs w:val="24"/>
        </w:rPr>
        <w:t xml:space="preserve"> imovini </w:t>
      </w:r>
      <w:r w:rsidR="008B5ABC">
        <w:rPr>
          <w:sz w:val="24"/>
          <w:szCs w:val="24"/>
        </w:rPr>
        <w:t xml:space="preserve"> odnosi se 37,09 % utrošenog iznosa </w:t>
      </w:r>
      <w:r w:rsidR="001B58AE">
        <w:rPr>
          <w:sz w:val="24"/>
          <w:szCs w:val="24"/>
        </w:rPr>
        <w:t xml:space="preserve">i to za </w:t>
      </w:r>
      <w:r w:rsidR="00455D5E">
        <w:rPr>
          <w:sz w:val="24"/>
          <w:szCs w:val="24"/>
        </w:rPr>
        <w:t>nadogradnju linearnog akceleratora u Klinici za tumore, tehničku zaštitu K</w:t>
      </w:r>
      <w:r w:rsidR="001F014D">
        <w:rPr>
          <w:sz w:val="24"/>
          <w:szCs w:val="24"/>
        </w:rPr>
        <w:t>liničkog bolničkog centra</w:t>
      </w:r>
      <w:r w:rsidR="00455D5E">
        <w:rPr>
          <w:sz w:val="24"/>
          <w:szCs w:val="24"/>
        </w:rPr>
        <w:t xml:space="preserve">, obnovu </w:t>
      </w:r>
      <w:r w:rsidR="00455D5E" w:rsidRPr="00D22C39">
        <w:rPr>
          <w:sz w:val="24"/>
          <w:szCs w:val="24"/>
        </w:rPr>
        <w:t>sustava za klimatizaciju operaci</w:t>
      </w:r>
      <w:r w:rsidR="001F014D">
        <w:rPr>
          <w:sz w:val="24"/>
          <w:szCs w:val="24"/>
        </w:rPr>
        <w:t>jsko</w:t>
      </w:r>
      <w:r w:rsidR="00455D5E" w:rsidRPr="00D22C39">
        <w:rPr>
          <w:sz w:val="24"/>
          <w:szCs w:val="24"/>
        </w:rPr>
        <w:t>g</w:t>
      </w:r>
      <w:r w:rsidR="00917D98" w:rsidRPr="00D22C39">
        <w:rPr>
          <w:sz w:val="24"/>
          <w:szCs w:val="24"/>
        </w:rPr>
        <w:t xml:space="preserve"> bloka opeklina u Klinici za traumatologiju</w:t>
      </w:r>
      <w:r w:rsidR="00455D5E" w:rsidRPr="00D22C39">
        <w:rPr>
          <w:sz w:val="24"/>
          <w:szCs w:val="24"/>
        </w:rPr>
        <w:t xml:space="preserve">, ugradnju klima komore, sustav </w:t>
      </w:r>
      <w:proofErr w:type="spellStart"/>
      <w:r w:rsidR="00455D5E" w:rsidRPr="00D22C39">
        <w:rPr>
          <w:sz w:val="24"/>
          <w:szCs w:val="24"/>
        </w:rPr>
        <w:t>videonadzorne</w:t>
      </w:r>
      <w:proofErr w:type="spellEnd"/>
      <w:r w:rsidR="00455D5E" w:rsidRPr="00D22C39">
        <w:rPr>
          <w:sz w:val="24"/>
          <w:szCs w:val="24"/>
        </w:rPr>
        <w:t xml:space="preserve"> zaštite</w:t>
      </w:r>
      <w:r w:rsidR="00455D5E">
        <w:rPr>
          <w:sz w:val="24"/>
          <w:szCs w:val="24"/>
        </w:rPr>
        <w:t>, radove unutarnjeg uređenja Zgrade 1</w:t>
      </w:r>
      <w:r w:rsidR="001F014D">
        <w:rPr>
          <w:sz w:val="24"/>
          <w:szCs w:val="24"/>
        </w:rPr>
        <w:t>,</w:t>
      </w:r>
      <w:r w:rsidR="00455D5E">
        <w:rPr>
          <w:sz w:val="24"/>
          <w:szCs w:val="24"/>
        </w:rPr>
        <w:t xml:space="preserve"> te ostale izvedene građevinsko-obrtničke radove. </w:t>
      </w:r>
    </w:p>
    <w:p w:rsidR="00FE58D8" w:rsidRDefault="002904DF" w:rsidP="003A0A8C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Sredstva iz </w:t>
      </w:r>
      <w:r w:rsidRPr="00FE58D8">
        <w:rPr>
          <w:rFonts w:ascii="Times New Roman" w:eastAsia="Times New Roman" w:hAnsi="Times New Roman" w:cs="Times New Roman"/>
          <w:b/>
          <w:sz w:val="24"/>
          <w:szCs w:val="24"/>
        </w:rPr>
        <w:t>vlastitih prihoda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D16">
        <w:rPr>
          <w:rFonts w:ascii="Times New Roman" w:eastAsia="Times New Roman" w:hAnsi="Times New Roman" w:cs="Times New Roman"/>
          <w:b/>
          <w:sz w:val="24"/>
          <w:szCs w:val="24"/>
        </w:rPr>
        <w:t>(izvor financiranja 31)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utrošena su u ukupnom iznosu od 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>1.773.559,27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>19,39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>manje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planiranog iznosa, a najvećim dijelom se odnose na</w:t>
      </w:r>
      <w:r w:rsidR="00247723">
        <w:rPr>
          <w:rFonts w:ascii="Times New Roman" w:eastAsia="Times New Roman" w:hAnsi="Times New Roman" w:cs="Times New Roman"/>
          <w:sz w:val="24"/>
          <w:szCs w:val="24"/>
        </w:rPr>
        <w:t xml:space="preserve"> nabavku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neophodne medicinske i laboratorijske opreme </w:t>
      </w:r>
      <w:r w:rsidRPr="002904DF">
        <w:rPr>
          <w:rFonts w:ascii="Times New Roman" w:eastAsia="Times New Roman" w:hAnsi="Times New Roman" w:cs="Times New Roman"/>
          <w:sz w:val="24"/>
          <w:szCs w:val="24"/>
        </w:rPr>
        <w:t>za koju nisu osigurana sredstva kroz izvor financiranja 11</w:t>
      </w:r>
      <w:r w:rsidR="007C07CE">
        <w:rPr>
          <w:rFonts w:ascii="Times New Roman" w:eastAsia="Times New Roman" w:hAnsi="Times New Roman" w:cs="Times New Roman"/>
          <w:sz w:val="24"/>
          <w:szCs w:val="24"/>
        </w:rPr>
        <w:t xml:space="preserve"> Opći prihodi i primici</w:t>
      </w:r>
      <w:r w:rsidRPr="002904DF">
        <w:rPr>
          <w:rFonts w:ascii="Times New Roman" w:eastAsia="Times New Roman" w:hAnsi="Times New Roman" w:cs="Times New Roman"/>
          <w:sz w:val="24"/>
          <w:szCs w:val="24"/>
        </w:rPr>
        <w:t xml:space="preserve"> kao što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>sterilizator za potrebe bolničke ljekarne, oprema za nadogradnju operacijskih sala Klinike za neurokirurgiju, aparat za anesteziju</w:t>
      </w:r>
      <w:r w:rsidR="003969ED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 xml:space="preserve"> ostala neophodna medicinska oprema</w:t>
      </w:r>
      <w:r w:rsidR="001F01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 xml:space="preserve"> te na ulaganja na građevinskim objektima kao što je sustav </w:t>
      </w:r>
      <w:proofErr w:type="spellStart"/>
      <w:r w:rsidR="008B5ABC">
        <w:rPr>
          <w:rFonts w:ascii="Times New Roman" w:eastAsia="Times New Roman" w:hAnsi="Times New Roman" w:cs="Times New Roman"/>
          <w:sz w:val="24"/>
          <w:szCs w:val="24"/>
        </w:rPr>
        <w:t>videonadzor</w:t>
      </w:r>
      <w:r w:rsidR="001F01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8B5AB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8B5ABC">
        <w:rPr>
          <w:rFonts w:ascii="Times New Roman" w:eastAsia="Times New Roman" w:hAnsi="Times New Roman" w:cs="Times New Roman"/>
          <w:sz w:val="24"/>
          <w:szCs w:val="24"/>
        </w:rPr>
        <w:t xml:space="preserve"> zaštite</w:t>
      </w:r>
      <w:r w:rsidR="00EA7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14D">
        <w:rPr>
          <w:rFonts w:ascii="Times New Roman" w:eastAsia="Times New Roman" w:hAnsi="Times New Roman" w:cs="Times New Roman"/>
          <w:sz w:val="24"/>
          <w:szCs w:val="24"/>
        </w:rPr>
        <w:t>kao i razni</w:t>
      </w:r>
      <w:r w:rsidR="00EA7111">
        <w:rPr>
          <w:rFonts w:ascii="Times New Roman" w:eastAsia="Times New Roman" w:hAnsi="Times New Roman" w:cs="Times New Roman"/>
          <w:sz w:val="24"/>
          <w:szCs w:val="24"/>
        </w:rPr>
        <w:t xml:space="preserve"> građevinsko-obrtničk</w:t>
      </w:r>
      <w:r w:rsidR="001F014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A7111">
        <w:rPr>
          <w:rFonts w:ascii="Times New Roman" w:eastAsia="Times New Roman" w:hAnsi="Times New Roman" w:cs="Times New Roman"/>
          <w:sz w:val="24"/>
          <w:szCs w:val="24"/>
        </w:rPr>
        <w:t xml:space="preserve"> radov</w:t>
      </w:r>
      <w:r w:rsidR="001F014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A7111">
        <w:rPr>
          <w:rFonts w:ascii="Times New Roman" w:eastAsia="Times New Roman" w:hAnsi="Times New Roman" w:cs="Times New Roman"/>
          <w:sz w:val="24"/>
          <w:szCs w:val="24"/>
        </w:rPr>
        <w:t xml:space="preserve"> unu</w:t>
      </w:r>
      <w:r w:rsidR="00FE58D8">
        <w:rPr>
          <w:rFonts w:ascii="Times New Roman" w:eastAsia="Times New Roman" w:hAnsi="Times New Roman" w:cs="Times New Roman"/>
          <w:sz w:val="24"/>
          <w:szCs w:val="24"/>
        </w:rPr>
        <w:t xml:space="preserve">tar </w:t>
      </w:r>
      <w:r w:rsidR="003969ED">
        <w:rPr>
          <w:rFonts w:ascii="Times New Roman" w:eastAsia="Times New Roman" w:hAnsi="Times New Roman" w:cs="Times New Roman"/>
          <w:sz w:val="24"/>
          <w:szCs w:val="24"/>
        </w:rPr>
        <w:t>Ustanove</w:t>
      </w:r>
      <w:r w:rsidR="00FE58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53A" w:rsidRDefault="00CF6FDB" w:rsidP="003A0A8C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6FDB">
        <w:rPr>
          <w:rFonts w:ascii="Times New Roman" w:eastAsia="Times New Roman" w:hAnsi="Times New Roman" w:cs="Times New Roman"/>
          <w:sz w:val="24"/>
          <w:szCs w:val="24"/>
        </w:rPr>
        <w:t xml:space="preserve">emeljem odobrenih naloga za </w:t>
      </w:r>
      <w:proofErr w:type="spellStart"/>
      <w:r w:rsidRPr="00CF6FDB">
        <w:rPr>
          <w:rFonts w:ascii="Times New Roman" w:eastAsia="Times New Roman" w:hAnsi="Times New Roman" w:cs="Times New Roman"/>
          <w:sz w:val="24"/>
          <w:szCs w:val="24"/>
        </w:rPr>
        <w:t>preknjiženje</w:t>
      </w:r>
      <w:proofErr w:type="spellEnd"/>
      <w:r w:rsidRPr="00CF6FDB">
        <w:rPr>
          <w:rFonts w:ascii="Times New Roman" w:eastAsia="Times New Roman" w:hAnsi="Times New Roman" w:cs="Times New Roman"/>
          <w:sz w:val="24"/>
          <w:szCs w:val="24"/>
        </w:rPr>
        <w:t xml:space="preserve"> od strane Ministarstva financija, sredstva planirana na izvoru </w:t>
      </w:r>
      <w:r w:rsidR="0072153A" w:rsidRPr="00CF6FDB">
        <w:rPr>
          <w:rFonts w:ascii="Times New Roman" w:eastAsia="Times New Roman" w:hAnsi="Times New Roman" w:cs="Times New Roman"/>
          <w:sz w:val="24"/>
          <w:szCs w:val="24"/>
        </w:rPr>
        <w:t>financiranja</w:t>
      </w:r>
      <w:r w:rsidRPr="00CF6FDB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Opći prihodi i primici</w:t>
      </w:r>
      <w:r w:rsidRPr="00CF6FDB">
        <w:rPr>
          <w:rFonts w:ascii="Times New Roman" w:eastAsia="Times New Roman" w:hAnsi="Times New Roman" w:cs="Times New Roman"/>
          <w:sz w:val="24"/>
          <w:szCs w:val="24"/>
        </w:rPr>
        <w:t xml:space="preserve"> za izvođenje građevinskih radova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6FDB">
        <w:rPr>
          <w:rFonts w:ascii="Times New Roman" w:eastAsia="Times New Roman" w:hAnsi="Times New Roman" w:cs="Times New Roman"/>
          <w:sz w:val="24"/>
          <w:szCs w:val="24"/>
        </w:rPr>
        <w:t>na zgradi za smještaj linearn</w:t>
      </w:r>
      <w:r w:rsidR="00FE58D8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CF6FDB">
        <w:rPr>
          <w:rFonts w:ascii="Times New Roman" w:eastAsia="Times New Roman" w:hAnsi="Times New Roman" w:cs="Times New Roman"/>
          <w:sz w:val="24"/>
          <w:szCs w:val="24"/>
        </w:rPr>
        <w:t xml:space="preserve"> akceleratora utrošena su</w:t>
      </w:r>
      <w:r w:rsidR="0072153A">
        <w:rPr>
          <w:rFonts w:ascii="Times New Roman" w:eastAsia="Times New Roman" w:hAnsi="Times New Roman" w:cs="Times New Roman"/>
          <w:sz w:val="24"/>
          <w:szCs w:val="24"/>
        </w:rPr>
        <w:t xml:space="preserve"> za navedenu namjenu </w:t>
      </w:r>
      <w:r w:rsidR="00FE58D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111">
        <w:rPr>
          <w:rFonts w:ascii="Times New Roman" w:eastAsia="Times New Roman" w:hAnsi="Times New Roman" w:cs="Times New Roman"/>
          <w:b/>
          <w:sz w:val="24"/>
          <w:szCs w:val="24"/>
        </w:rPr>
        <w:t>izvora</w:t>
      </w:r>
      <w:r w:rsidR="008B7076" w:rsidRPr="008B7076"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financiranja 581  Me</w:t>
      </w:r>
      <w:r w:rsidR="008B7076">
        <w:rPr>
          <w:rFonts w:ascii="Times New Roman" w:eastAsia="Times New Roman" w:hAnsi="Times New Roman" w:cs="Times New Roman"/>
          <w:b/>
          <w:sz w:val="24"/>
          <w:szCs w:val="24"/>
        </w:rPr>
        <w:t xml:space="preserve">hanizam za oporavak i otpornost </w:t>
      </w:r>
      <w:r w:rsidR="00FE58D8">
        <w:rPr>
          <w:rFonts w:ascii="Times New Roman" w:eastAsia="Times New Roman" w:hAnsi="Times New Roman" w:cs="Times New Roman"/>
          <w:b/>
          <w:sz w:val="24"/>
          <w:szCs w:val="24"/>
        </w:rPr>
        <w:t xml:space="preserve">– bespovratna sredstva </w:t>
      </w:r>
      <w:r w:rsidRPr="00CF6FDB">
        <w:rPr>
          <w:rFonts w:ascii="Times New Roman" w:eastAsia="Times New Roman" w:hAnsi="Times New Roman" w:cs="Times New Roman"/>
          <w:sz w:val="24"/>
          <w:szCs w:val="24"/>
        </w:rPr>
        <w:t xml:space="preserve">u iznosu od </w:t>
      </w:r>
      <w:r w:rsidR="00EA7111" w:rsidRPr="00CF6FD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A7111">
        <w:rPr>
          <w:rFonts w:ascii="Times New Roman" w:eastAsia="Times New Roman" w:hAnsi="Times New Roman" w:cs="Times New Roman"/>
          <w:sz w:val="24"/>
          <w:szCs w:val="24"/>
        </w:rPr>
        <w:t>171.482,46</w:t>
      </w:r>
      <w:r w:rsidR="008B7076" w:rsidRPr="008B7076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7215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7076" w:rsidRDefault="00662D16" w:rsidP="003A0A8C">
      <w:pPr>
        <w:widowControl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D16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Pr="005C40BC">
        <w:rPr>
          <w:rFonts w:ascii="Times New Roman" w:hAnsi="Times New Roman" w:cs="Times New Roman"/>
          <w:b/>
          <w:sz w:val="24"/>
          <w:szCs w:val="24"/>
        </w:rPr>
        <w:t xml:space="preserve">izvoru financiranja 61 Donacije </w:t>
      </w:r>
      <w:r w:rsidR="00F77DCC">
        <w:rPr>
          <w:rFonts w:ascii="Times New Roman" w:hAnsi="Times New Roman" w:cs="Times New Roman"/>
          <w:sz w:val="24"/>
          <w:szCs w:val="24"/>
        </w:rPr>
        <w:t>utrošeno</w:t>
      </w:r>
      <w:r w:rsidRPr="00662D16">
        <w:rPr>
          <w:rFonts w:ascii="Times New Roman" w:hAnsi="Times New Roman" w:cs="Times New Roman"/>
          <w:sz w:val="24"/>
          <w:szCs w:val="24"/>
        </w:rPr>
        <w:t xml:space="preserve"> </w:t>
      </w:r>
      <w:r w:rsidR="003A0A8C">
        <w:rPr>
          <w:rFonts w:ascii="Times New Roman" w:hAnsi="Times New Roman" w:cs="Times New Roman"/>
          <w:sz w:val="24"/>
          <w:szCs w:val="24"/>
        </w:rPr>
        <w:t xml:space="preserve">je 42.396,58 eura ili 7,69 % više od planiranog iznosa za 2025. godinu. </w:t>
      </w:r>
      <w:r w:rsidR="0087051A">
        <w:rPr>
          <w:rFonts w:ascii="Times New Roman" w:hAnsi="Times New Roman" w:cs="Times New Roman"/>
          <w:sz w:val="24"/>
          <w:szCs w:val="24"/>
        </w:rPr>
        <w:t>Najveći dio utrošenog iznosa</w:t>
      </w:r>
      <w:r w:rsidR="003A0A8C">
        <w:rPr>
          <w:rFonts w:ascii="Times New Roman" w:hAnsi="Times New Roman" w:cs="Times New Roman"/>
          <w:sz w:val="24"/>
          <w:szCs w:val="24"/>
        </w:rPr>
        <w:t xml:space="preserve"> </w:t>
      </w:r>
      <w:r w:rsidR="0087051A">
        <w:rPr>
          <w:rFonts w:ascii="Times New Roman" w:hAnsi="Times New Roman" w:cs="Times New Roman"/>
          <w:sz w:val="24"/>
          <w:szCs w:val="24"/>
        </w:rPr>
        <w:t xml:space="preserve">odnosi se na nabavku medicinske i laboratorijske opreme </w:t>
      </w:r>
      <w:r w:rsidR="004903FE">
        <w:rPr>
          <w:rFonts w:ascii="Times New Roman" w:hAnsi="Times New Roman" w:cs="Times New Roman"/>
          <w:sz w:val="24"/>
          <w:szCs w:val="24"/>
        </w:rPr>
        <w:t>kao što je</w:t>
      </w:r>
      <w:r w:rsidR="0012713F">
        <w:rPr>
          <w:rFonts w:ascii="Times New Roman" w:hAnsi="Times New Roman" w:cs="Times New Roman"/>
          <w:sz w:val="24"/>
          <w:szCs w:val="24"/>
        </w:rPr>
        <w:t xml:space="preserve"> </w:t>
      </w:r>
      <w:r w:rsidR="003A0A8C">
        <w:rPr>
          <w:rFonts w:ascii="Times New Roman" w:hAnsi="Times New Roman" w:cs="Times New Roman"/>
          <w:sz w:val="24"/>
          <w:szCs w:val="24"/>
        </w:rPr>
        <w:t>digitalna kamera te sustav za kontinuirani nadzor fizikalnih parametara za Banku tkiva.</w:t>
      </w:r>
      <w:r w:rsidR="00093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63A" w:rsidRPr="00C32EC2" w:rsidRDefault="00A21A58" w:rsidP="00AB0046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EC2">
        <w:rPr>
          <w:rFonts w:ascii="Times New Roman" w:eastAsia="Times New Roman" w:hAnsi="Times New Roman" w:cs="Times New Roman"/>
          <w:sz w:val="24"/>
          <w:szCs w:val="24"/>
        </w:rPr>
        <w:t xml:space="preserve">Sredstva planirana na </w:t>
      </w:r>
      <w:r w:rsidRPr="00C32EC2">
        <w:rPr>
          <w:rFonts w:ascii="Times New Roman" w:eastAsia="Times New Roman" w:hAnsi="Times New Roman" w:cs="Times New Roman"/>
          <w:b/>
          <w:sz w:val="24"/>
          <w:szCs w:val="24"/>
        </w:rPr>
        <w:t>izvoru</w:t>
      </w:r>
      <w:r w:rsidR="00C32EC2"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financiranja </w:t>
      </w:r>
      <w:r w:rsidRPr="00C32EC2">
        <w:rPr>
          <w:rFonts w:ascii="Times New Roman" w:eastAsia="Times New Roman" w:hAnsi="Times New Roman" w:cs="Times New Roman"/>
          <w:b/>
          <w:sz w:val="24"/>
          <w:szCs w:val="24"/>
        </w:rPr>
        <w:t xml:space="preserve">71 </w:t>
      </w:r>
      <w:r w:rsidR="00C32EC2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C32EC2">
        <w:rPr>
          <w:rFonts w:ascii="Times New Roman" w:eastAsia="Times New Roman" w:hAnsi="Times New Roman" w:cs="Times New Roman"/>
          <w:b/>
          <w:sz w:val="24"/>
          <w:szCs w:val="24"/>
        </w:rPr>
        <w:t>rihodi od nefinancijske imovine</w:t>
      </w:r>
      <w:r w:rsidR="0017063A" w:rsidRPr="00C32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2EC2">
        <w:rPr>
          <w:rFonts w:ascii="Times New Roman" w:eastAsia="Times New Roman" w:hAnsi="Times New Roman" w:cs="Times New Roman"/>
          <w:sz w:val="24"/>
          <w:szCs w:val="24"/>
        </w:rPr>
        <w:t>nisu utrošena.</w:t>
      </w:r>
    </w:p>
    <w:p w:rsidR="00B21513" w:rsidRDefault="009B1DC2" w:rsidP="00216115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537" w:rsidRPr="00216115">
        <w:rPr>
          <w:rFonts w:ascii="Times New Roman" w:eastAsia="Times New Roman" w:hAnsi="Times New Roman" w:cs="Times New Roman"/>
          <w:sz w:val="24"/>
          <w:szCs w:val="24"/>
        </w:rPr>
        <w:t>Budući da su n</w:t>
      </w:r>
      <w:r w:rsidRPr="00216115">
        <w:rPr>
          <w:rFonts w:ascii="Times New Roman" w:eastAsia="Times New Roman" w:hAnsi="Times New Roman" w:cs="Times New Roman"/>
          <w:sz w:val="24"/>
          <w:szCs w:val="24"/>
        </w:rPr>
        <w:t xml:space="preserve">avedena ulaganja </w:t>
      </w:r>
      <w:r w:rsidR="00795537" w:rsidRPr="00216115">
        <w:rPr>
          <w:rFonts w:ascii="Times New Roman" w:eastAsia="Times New Roman" w:hAnsi="Times New Roman" w:cs="Times New Roman"/>
          <w:sz w:val="24"/>
          <w:szCs w:val="24"/>
        </w:rPr>
        <w:t xml:space="preserve">bila značajno manja od prvobitno planiranih, </w:t>
      </w:r>
      <w:r w:rsidR="00216115" w:rsidRPr="00216115">
        <w:rPr>
          <w:rFonts w:ascii="Times New Roman" w:eastAsia="Times New Roman" w:hAnsi="Times New Roman" w:cs="Times New Roman"/>
          <w:sz w:val="24"/>
          <w:szCs w:val="24"/>
        </w:rPr>
        <w:t xml:space="preserve">isto je </w:t>
      </w:r>
      <w:r w:rsidRPr="00216115">
        <w:rPr>
          <w:rFonts w:ascii="Times New Roman" w:eastAsia="Times New Roman" w:hAnsi="Times New Roman" w:cs="Times New Roman"/>
          <w:sz w:val="24"/>
          <w:szCs w:val="24"/>
        </w:rPr>
        <w:t>rezultiral</w:t>
      </w:r>
      <w:r w:rsidR="00216115" w:rsidRPr="0021611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6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115" w:rsidRPr="00216115">
        <w:rPr>
          <w:rFonts w:ascii="Times New Roman" w:eastAsia="Times New Roman" w:hAnsi="Times New Roman" w:cs="Times New Roman"/>
          <w:sz w:val="24"/>
          <w:szCs w:val="24"/>
        </w:rPr>
        <w:t>poveća</w:t>
      </w:r>
      <w:r w:rsidRPr="00216115">
        <w:rPr>
          <w:rFonts w:ascii="Times New Roman" w:eastAsia="Times New Roman" w:hAnsi="Times New Roman" w:cs="Times New Roman"/>
          <w:sz w:val="24"/>
          <w:szCs w:val="24"/>
        </w:rPr>
        <w:t>njem stope učešća otpisane vrijednosti u odnosu na nabavnu vrijednost postrojenja i opreme.</w:t>
      </w:r>
    </w:p>
    <w:p w:rsidR="00B21513" w:rsidRPr="00B21513" w:rsidRDefault="00B21513" w:rsidP="003A0A8C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63A" w:rsidRPr="003A0A8C" w:rsidRDefault="0017063A" w:rsidP="003A0A8C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DCC">
        <w:rPr>
          <w:rFonts w:ascii="Times New Roman" w:eastAsia="Times New Roman" w:hAnsi="Times New Roman" w:cs="Times New Roman"/>
          <w:b/>
          <w:bCs/>
        </w:rPr>
        <w:t>Pokazatelji rezultata</w:t>
      </w: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2394"/>
        <w:gridCol w:w="832"/>
        <w:gridCol w:w="1010"/>
        <w:gridCol w:w="851"/>
        <w:gridCol w:w="992"/>
        <w:gridCol w:w="1134"/>
      </w:tblGrid>
      <w:tr w:rsidR="0017063A" w:rsidRPr="0017063A" w:rsidTr="00A44970">
        <w:trPr>
          <w:trHeight w:hRule="exact" w:val="917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552" w:hanging="552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Polazna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Izvor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17063A" w:rsidP="004038FC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038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Ostvarena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4038FC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="007342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8A0DD0">
        <w:trPr>
          <w:trHeight w:hRule="exact" w:val="1641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17063A">
            <w:pPr>
              <w:widowControl w:val="0"/>
              <w:spacing w:after="0" w:line="240" w:lineRule="auto"/>
              <w:ind w:left="127" w:right="6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Stopa učešća otpisane vrijednosti u odnosu na nabavnu vrijednost postrojenja i opreme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9B1DC2">
            <w:pPr>
              <w:widowControl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 xml:space="preserve">Nabavkom nove opreme postotak učešća otpisane vrijednosti u odnosu na nabavnu vrijednost će se </w:t>
            </w:r>
            <w:r w:rsidR="009B1DC2" w:rsidRPr="008A0DD0">
              <w:rPr>
                <w:rFonts w:ascii="Times New Roman" w:eastAsia="Times New Roman" w:hAnsi="Times New Roman" w:cs="Times New Roman"/>
              </w:rPr>
              <w:t>smanjivati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270DDF" w:rsidRDefault="000E412B" w:rsidP="00270DDF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0DDF">
              <w:rPr>
                <w:rFonts w:ascii="Times New Roman" w:eastAsia="Times New Roman" w:hAnsi="Times New Roman" w:cs="Times New Roman"/>
              </w:rPr>
              <w:t>7</w:t>
            </w:r>
            <w:r w:rsidR="00270DDF" w:rsidRPr="00270DDF">
              <w:rPr>
                <w:rFonts w:ascii="Times New Roman" w:eastAsia="Times New Roman" w:hAnsi="Times New Roman" w:cs="Times New Roman"/>
              </w:rPr>
              <w:t>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270DDF" w:rsidRDefault="0017063A" w:rsidP="00170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270DDF">
              <w:rPr>
                <w:rFonts w:ascii="Times New Roman" w:eastAsia="Times New Roman" w:hAnsi="Times New Roman" w:cs="Times New Roman"/>
              </w:rPr>
              <w:t>Računo</w:t>
            </w:r>
            <w:proofErr w:type="spellEnd"/>
            <w:r w:rsidRPr="00270DDF">
              <w:rPr>
                <w:rFonts w:ascii="Times New Roman" w:eastAsia="Times New Roman" w:hAnsi="Times New Roman" w:cs="Times New Roman"/>
              </w:rPr>
              <w:t xml:space="preserve"> vodstvo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270DDF" w:rsidRDefault="00270DDF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270DDF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270DDF" w:rsidRDefault="00917D98" w:rsidP="00F77DCC">
            <w:pPr>
              <w:widowControl w:val="0"/>
              <w:spacing w:after="0" w:line="240" w:lineRule="auto"/>
              <w:ind w:right="171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216115">
              <w:rPr>
                <w:rFonts w:ascii="Times New Roman" w:eastAsia="Times New Roman" w:hAnsi="Times New Roman" w:cs="Times New Roman"/>
              </w:rPr>
              <w:t>74,85</w:t>
            </w:r>
          </w:p>
        </w:tc>
      </w:tr>
    </w:tbl>
    <w:p w:rsidR="008A0DD0" w:rsidRDefault="008A0DD0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216115" w:rsidRDefault="00216115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A0DD0" w:rsidRDefault="008A0DD0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1A58" w:rsidRDefault="00A21A58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473E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II Aktivnost K895007 – SANACIJA ŠTETE OD POTRESA</w:t>
      </w:r>
      <w:r w:rsidRPr="0017063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:rsidR="00A21A58" w:rsidRPr="00917D98" w:rsidRDefault="00A21A58" w:rsidP="0017063A">
      <w:pPr>
        <w:spacing w:before="12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17D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12606A" w:rsidRPr="0012606A" w:rsidRDefault="0012606A" w:rsidP="0012606A">
      <w:pPr>
        <w:spacing w:before="120" w:after="0" w:line="240" w:lineRule="auto"/>
        <w:ind w:right="3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Vlade RH o načinu raspodjele bespovratnih financijskih sredstava iz Fonda solidarnosti Europske unije odobrenih za financiranje sanacije šteta od potresa na području grada Zagreba, Krapinsko-zagorske županije i Zagrebačke županije, imenovanju i određivanju zaduženja Nacionalnog koordinacijskog tijela, tijela odgovornih za provedbu financijskog doprinosa i neovisnog revizijskog tijela (NN 125/20); Ugovor o dodjeli bespovratnih financijskih sredstava za operacije koje se financiraju iz Fonda solidarnosti Europske unije za operaciju „Projekt obnove od potresa Upravne zgrade“ </w:t>
      </w:r>
      <w:r w:rsidR="008A0DD0">
        <w:rPr>
          <w:rFonts w:ascii="Times New Roman" w:eastAsia="Times New Roman" w:hAnsi="Times New Roman" w:cs="Times New Roman"/>
          <w:sz w:val="24"/>
          <w:szCs w:val="24"/>
          <w:lang w:eastAsia="hr-HR"/>
        </w:rPr>
        <w:t>i Dodaci I-IV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navedenom Ugovoru;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dodjeli bespovratnih financijskih sredstava za operacije koje se financiraju iz Fonda solidarnosti Europske unije za operaciju „Projekt obnove od potresa Zgrade Interna 2“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</w:t>
      </w:r>
      <w:r w:rsidR="008A0DD0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za operaciju „Projekt obnove od potresa Zgrade Interna 3“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</w:t>
      </w:r>
      <w:r w:rsidR="008A0DD0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za operaciju „Projekt obnove od potresa Zgrade 7 Klinički zavod za kemiju i endokrinologiju“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I-III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dodjeli bespovratnih financijskih sredstava za operacije koje se financiraju iz Fonda solidarnosti Europske unije za operaciju „Projekt obnove od potresa Zgrade 4 Klinika za očne bolesti i Klinika za kožne i spolne bolesti“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I-III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za operaciju „Projekt obnove od potresa Zgrade 9 Zgrada Klinike za kirurgiju“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dodaci I-III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 operaciju „Projekt obnove od potresa Zgrada 11 – zgrada anestezije, škole i multimedije“;  Ugovor o dodjeli bespovratnih financijskih sredstava za operacije koje se financiraju iz Fonda solidarnosti Europske unije za operaciju „Projekt obnove od potresa Zgrada 5 – Zgrada pedija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trije, ORL, URL i ginekologije“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; Ugovor o dodjeli bespovratnih financijskih sredstava za operacije koje se financiraju iz Fonda solidarnosti Europske unije za operaciju „Projekt obnove od potresa Zgra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 Klinike za traumatologiju“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2B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Ugovor o dodjeli bespovratnih financijskih sredstava za operacije koje se financiraju iz Fonda solidarnosti Europske unije za operaciju „Projekt obnove od potresa Zgrada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Klinike za tumore, Ilica 197“</w:t>
      </w:r>
      <w:r w:rsidR="00AB0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</w:t>
      </w:r>
      <w:r w:rsidR="00417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Dodatak br. 1 navedenom Ugovoru; </w:t>
      </w:r>
      <w:r w:rsidR="00AB0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Odluka o nastavku financiranja projekata započetih iz Fonda solidarnosti Europske unije iz sredstava državnog proračuna Republike Hrvatske</w:t>
      </w:r>
    </w:p>
    <w:p w:rsidR="00D13396" w:rsidRDefault="00D13396" w:rsidP="002B4B63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B63" w:rsidRPr="004242ED" w:rsidRDefault="002B4B63" w:rsidP="002B4B63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8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139"/>
        <w:gridCol w:w="1413"/>
        <w:gridCol w:w="1134"/>
        <w:gridCol w:w="1134"/>
      </w:tblGrid>
      <w:tr w:rsidR="005E58E4" w:rsidRPr="0017063A" w:rsidTr="004E1134">
        <w:trPr>
          <w:trHeight w:hRule="exact" w:val="12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14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143D23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Tekući plan 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/Tekući plan</w:t>
            </w:r>
          </w:p>
          <w:p w:rsidR="005E58E4" w:rsidRPr="000F42C2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5E58E4" w:rsidRPr="000F42C2" w:rsidRDefault="005E58E4" w:rsidP="00294E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94E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294E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4B63" w:rsidRPr="0017063A" w:rsidTr="004E1134">
        <w:trPr>
          <w:trHeight w:hRule="exact" w:val="57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2B4B63" w:rsidP="00637DDE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K895007 -  SANACIJA  ŠTETE OD POTRESA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143D23" w:rsidP="00637DDE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17.667.794,44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7A663E" w:rsidP="00637DDE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18.621.260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7A663E" w:rsidP="00637DDE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18.348.192,06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7A663E" w:rsidP="00637DDE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63" w:rsidRPr="0017063A" w:rsidRDefault="000F42C2" w:rsidP="00637DDE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103,85</w:t>
            </w:r>
          </w:p>
        </w:tc>
      </w:tr>
    </w:tbl>
    <w:p w:rsidR="00AB0046" w:rsidRDefault="00AB0046" w:rsidP="00216115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7063A" w:rsidRPr="0017063A" w:rsidRDefault="0017063A" w:rsidP="0017063A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  <w:bCs/>
        </w:rPr>
      </w:pPr>
      <w:r w:rsidRPr="0017063A">
        <w:rPr>
          <w:rFonts w:ascii="Times New Roman" w:eastAsia="Times New Roman" w:hAnsi="Times New Roman" w:cs="Times New Roman"/>
          <w:b/>
          <w:bCs/>
        </w:rPr>
        <w:t>Opis aktivnosti</w:t>
      </w:r>
    </w:p>
    <w:p w:rsidR="0017063A" w:rsidRPr="0017063A" w:rsidRDefault="0095672B" w:rsidP="00DD745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emeljem Odluke Vlade Republike Hrvatske kojom je utvrđen način raspodjele bespovratnih sredstava iz Fonda solidarnosti 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uropske unije s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a svrh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vraćanja u uporabljivo stanje zgrada oštećenih potresom u ožujku i prosincu 2020. godine u kojima se odvija liječenje pacijenata ili rad službi vezanih uz obavljanje zdravstvene zaštite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Klinički bolnički centar Sestre milosrdnice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 sl</w:t>
      </w:r>
      <w:r w:rsidR="0015582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jedeće projekte: </w:t>
      </w:r>
    </w:p>
    <w:p w:rsidR="0017063A" w:rsidRPr="0017063A" w:rsidRDefault="0017063A" w:rsidP="00547B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Sanacija štete od potresa iz ožujka 2020. godine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izvora financiranja </w:t>
      </w:r>
      <w:r w:rsid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>11 Opći prihodi i primici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izvora financiranja</w:t>
      </w:r>
      <w:r w:rsidR="00321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</w:t>
      </w:r>
      <w:r w:rsid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21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Namjenski primitak – NPOO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D7454" w:rsidRDefault="0017063A" w:rsidP="00547BC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Projekt obnove od potresa Upravne zgrade </w:t>
      </w:r>
    </w:p>
    <w:p w:rsidR="00DD7454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Projekt obnove od potresa Zgrade Interna 2 </w:t>
      </w:r>
    </w:p>
    <w:p w:rsidR="0017063A" w:rsidRPr="0017063A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Projekt obnove od potresa Zgrade Interna 3 </w:t>
      </w:r>
    </w:p>
    <w:p w:rsidR="00DD7454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Projekt obnove od potresa Zgrade 7 Klinički zavod za kemiju i endokrinologiju </w:t>
      </w:r>
    </w:p>
    <w:p w:rsidR="00155821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Projekt obnove od potresa Zgrade 4 Klinika za očne bolesti i Klinika za kožne i spolne </w:t>
      </w:r>
    </w:p>
    <w:p w:rsidR="0017063A" w:rsidRPr="0017063A" w:rsidRDefault="00155821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bolesti  </w:t>
      </w:r>
    </w:p>
    <w:p w:rsidR="0017063A" w:rsidRPr="0017063A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Projekt obnove od potresa Zgrade 9 Zgrada Klinike za kirurgiju </w:t>
      </w:r>
    </w:p>
    <w:p w:rsidR="0017063A" w:rsidRPr="0017063A" w:rsidRDefault="0017063A" w:rsidP="00547BCD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 </w:t>
      </w:r>
      <w:r w:rsidRPr="001706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Sanacija štete od potresa iz prosinca 2020. godine</w:t>
      </w:r>
      <w:r w:rsidR="00773D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73D5C" w:rsidRP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3213DE" w:rsidRP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1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izvora financiranja 11 Opći prihodi i primici 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izvora financiranja </w:t>
      </w:r>
      <w:r w:rsidR="00547BCD">
        <w:rPr>
          <w:rFonts w:ascii="Times New Roman" w:eastAsia="Times New Roman" w:hAnsi="Times New Roman" w:cs="Times New Roman"/>
          <w:sz w:val="24"/>
          <w:szCs w:val="24"/>
          <w:lang w:eastAsia="hr-HR"/>
        </w:rPr>
        <w:t>815 Namjenski primitak – NPOO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D7454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obnove od potresa Zgrada 11 – zgrada </w:t>
      </w:r>
      <w:r w:rsid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nestezije, škole i multimedije </w:t>
      </w:r>
    </w:p>
    <w:p w:rsidR="0017063A" w:rsidRPr="00DD7454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obnove od potresa Zgrada 5 – Zgrada pedijatrije, ORL, </w:t>
      </w:r>
      <w:r w:rsid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>urologije</w:t>
      </w: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ginekologije </w:t>
      </w:r>
    </w:p>
    <w:p w:rsidR="00DD7454" w:rsidRPr="00362243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62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Projekt obnove od potresa Zgrade Klinike za traumatologiju </w:t>
      </w:r>
    </w:p>
    <w:p w:rsidR="0017063A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46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Projekt obnove od potresa Zgrad</w:t>
      </w:r>
      <w:r w:rsidR="00DD7454" w:rsidRPr="00A46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1175B9" w:rsidRPr="00A46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Klinike za tumore, Ilica 197</w:t>
      </w:r>
    </w:p>
    <w:p w:rsidR="0095672B" w:rsidRDefault="0095672B" w:rsidP="0095672B">
      <w:pPr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5672B" w:rsidRDefault="0095672B" w:rsidP="0095672B">
      <w:pPr>
        <w:widowControl w:val="0"/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Budući da su sredstva iz Fonda solidarnosti Europske unije bila na raspolaganju do 30. lipnja 2023. godine, nerealizirana ugovorena sredstva</w:t>
      </w:r>
      <w:r w:rsidR="006B1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2024. godine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preraspodijeljena su na izvor financiranja 11 Opći prihodi i primici</w:t>
      </w:r>
      <w:r w:rsidR="00217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a sredstva s izvora financiranja 581 Mehanizam za oporavak i otpornost na izvor financiranja 815 Namjenski primitak – NPOO.</w:t>
      </w:r>
    </w:p>
    <w:p w:rsidR="00216115" w:rsidRDefault="00216115" w:rsidP="0095672B">
      <w:pPr>
        <w:widowControl w:val="0"/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343FFE" w:rsidRDefault="00217B15" w:rsidP="00217B15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Zbog potrebe financiranja dodatnih troš</w:t>
      </w:r>
      <w:r w:rsidR="00343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kova,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Vlada Republike Hrvatske donijela je Odluku</w:t>
      </w:r>
      <w:r w:rsidR="00343F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sufinanciranju vlastitog učešća Korisnika bespovratnih financijskih sredstava projekta konstrukcijske i cjelovite obnove započete u okviru Fonda solidarnosti Europske unije sredstvima Državnog proračuna temeljem kojeg će se korisnicima omogućiti sufinanciranje za prihvatljive, opravdane i nastale troškove vlastitog učešća, a koja su potrebna za završetak konstrukcijske i cjelovite obnove projekata započetih u okviru Fonda solidarnosti Europske unije (Odluka od 4. srpnja 2024. godine). </w:t>
      </w:r>
    </w:p>
    <w:p w:rsidR="00217B15" w:rsidRDefault="00343FFE" w:rsidP="00217B15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</w:t>
      </w:r>
      <w:r w:rsidR="00217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emeljem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navedenog, Ministarstvo zdravstva i Klinički bolnički centar Sestre milosrdnice sklopili su Sporazum o sufinanciranju vlastitog učešća korisnika bespovratnih financijskih sredstava projekata konstruk</w:t>
      </w:r>
      <w:r w:rsidR="006B1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cijske i cjelovite obnove započete u okviru Fonda solidarnosti Europske unije sredstvima Državnog proračuna za Upravnu zgradu, Zgradu Interna 2 i Zgradu Interna 3.</w:t>
      </w:r>
    </w:p>
    <w:p w:rsidR="00217B15" w:rsidRDefault="00217B15" w:rsidP="00217B15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Tijekom 2025. godine završen je projekt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obnove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</w:t>
      </w:r>
      <w:r w:rsidR="006B1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pravne zgrade koja je i useljen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 u kolovozu 2025. godine. Za preostalih 5 zgrada oštećenih u potresu iz ožujka </w:t>
      </w:r>
      <w:r w:rsidR="006B1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2020. godine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produženi su rokovi obnove.</w:t>
      </w:r>
    </w:p>
    <w:p w:rsidR="006E7DB9" w:rsidRDefault="00217B15" w:rsidP="006E7DB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zgrade oštećene u potresu iz prosinca 2020. godine nije bilo moguće započeti obnovu zbog nedost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atka prostora u koji bi se mogla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preseliti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oprem</w:t>
      </w:r>
      <w:r w:rsidR="006E7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a,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E7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kadrovi i pacijenti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te </w:t>
      </w:r>
      <w:r w:rsidR="006E7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 sada </w:t>
      </w:r>
      <w:r w:rsidR="006E7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izrađena samo </w:t>
      </w:r>
      <w:r w:rsidR="006E7DB9" w:rsidRPr="00DC152E">
        <w:rPr>
          <w:rFonts w:ascii="Times New Roman" w:hAnsi="Times New Roman" w:cs="Times New Roman"/>
          <w:color w:val="000000"/>
          <w:sz w:val="24"/>
          <w:szCs w:val="24"/>
        </w:rPr>
        <w:t xml:space="preserve">projektno-tehnička dokumentacija do razine idejnog projekta. </w:t>
      </w:r>
    </w:p>
    <w:p w:rsidR="0088164A" w:rsidRPr="00A46E7E" w:rsidRDefault="006E7DB9" w:rsidP="006E7DB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</w:t>
      </w:r>
      <w:r w:rsidRPr="00DC152E">
        <w:rPr>
          <w:rFonts w:ascii="Times New Roman" w:hAnsi="Times New Roman" w:cs="Times New Roman"/>
          <w:color w:val="000000"/>
          <w:sz w:val="24"/>
          <w:szCs w:val="24"/>
        </w:rPr>
        <w:t>rilikom izrade snimk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C152E">
        <w:rPr>
          <w:rFonts w:ascii="Times New Roman" w:hAnsi="Times New Roman" w:cs="Times New Roman"/>
          <w:color w:val="000000"/>
          <w:sz w:val="24"/>
          <w:szCs w:val="24"/>
        </w:rPr>
        <w:t xml:space="preserve"> postojećeg stanja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Zgrade Klinike za tumore</w:t>
      </w:r>
      <w:r w:rsidRPr="00DC152E">
        <w:rPr>
          <w:rFonts w:ascii="Times New Roman" w:hAnsi="Times New Roman" w:cs="Times New Roman"/>
          <w:color w:val="000000"/>
          <w:sz w:val="24"/>
          <w:szCs w:val="24"/>
        </w:rPr>
        <w:t xml:space="preserve">, utvrđeno je kako je jednu dilataciju moguće obnoviti u postojećim gabaritima, dok je druga dilatacija ozbiljno konstruktivno oštećena te se mora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potpuno </w:t>
      </w:r>
      <w:r w:rsidRPr="00DC152E">
        <w:rPr>
          <w:rFonts w:ascii="Times New Roman" w:hAnsi="Times New Roman" w:cs="Times New Roman"/>
          <w:color w:val="000000"/>
          <w:sz w:val="24"/>
          <w:szCs w:val="24"/>
        </w:rPr>
        <w:t>ukloniti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na istoj lokaciji izgraditi novi, zamjenski objekt.</w:t>
      </w:r>
      <w:r w:rsidRPr="00DC1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 tog razloga je 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Dodatkom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br. 1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Ugovoru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dodjeli bespovratnih financijskih sredstava </w:t>
      </w:r>
      <w:r w:rsidR="00373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operacije koje se financiraju iz Fonda solidarnosti Europske unije, a z</w:t>
      </w:r>
      <w:r w:rsidR="008816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bog nemogućnosti iskorištenja financiranja operacije iz Mehanizma za oporavak i otpornost do 30. lipnja 2026. godine iznos dodijeljenih bespovratnih financijskih sredstava smanjen na do sada odobrena sredstva temeljem zahtjeva za nadoknadu sredstava (ZNS) u iznosu od 206.821,22 eura, a sukladno Odluci o financiranju operacije iz Fonda solidarnosti Europske unije od 15. travnja 2025. godine.</w:t>
      </w:r>
    </w:p>
    <w:p w:rsidR="004434CE" w:rsidRDefault="00373497" w:rsidP="0088164A">
      <w:pPr>
        <w:spacing w:before="12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Na ovoj aktivnosti ukupni planirani iznos za</w:t>
      </w:r>
      <w:r w:rsidR="0017063A" w:rsidRPr="001175B9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773D5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202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5</w:t>
      </w:r>
      <w:r w:rsidR="00773D5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. godin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u u tekućem planu iznosio je 18.621.260 eura,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te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je ostvaren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98,53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%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na 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izvor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im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a financiranja </w:t>
      </w:r>
      <w:r w:rsidR="004434CE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11 </w:t>
      </w:r>
      <w:r w:rsidR="00C6236C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Opći prihodi i primici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i </w:t>
      </w:r>
      <w:r w:rsidR="00C6236C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4434CE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815 </w:t>
      </w:r>
      <w:r w:rsidR="00547BCD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</w:t>
      </w:r>
      <w:r w:rsidR="004434CE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amjenski</w:t>
      </w:r>
      <w:r w:rsidR="004434CE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primitak –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4434CE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NPOO.</w:t>
      </w:r>
    </w:p>
    <w:p w:rsidR="00B66D31" w:rsidRPr="00766FDB" w:rsidRDefault="00C8195F" w:rsidP="00766FDB">
      <w:pPr>
        <w:spacing w:before="120"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 w:rsidRPr="00C819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Najveći dio ili 9</w:t>
      </w:r>
      <w:r w:rsidR="00972E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7</w:t>
      </w:r>
      <w:r w:rsidRPr="00C819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,</w:t>
      </w:r>
      <w:r w:rsidR="008A7EA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36</w:t>
      </w:r>
      <w:r w:rsidRPr="00C819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% utrošenih sredstava odnosi se na građevinske radove za obnovu zgrada o</w:t>
      </w:r>
      <w:r w:rsidR="00773D5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šte</w:t>
      </w:r>
      <w:r w:rsidRPr="00C819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ćenih potresom iz ožujka 2020. godine dok su preostala sredstva utrošena na usluge stručnog nadzora, vođenje projekta te izradu projektne dokumentacije z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a sve zgrade obuhvaćene obnovom</w:t>
      </w:r>
      <w:r w:rsidR="0055574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.</w:t>
      </w:r>
    </w:p>
    <w:p w:rsidR="0017063A" w:rsidRPr="0017063A" w:rsidRDefault="0017063A" w:rsidP="00216115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262DA">
        <w:rPr>
          <w:rFonts w:ascii="Times New Roman" w:eastAsia="Times New Roman" w:hAnsi="Times New Roman" w:cs="Times New Roman"/>
          <w:b/>
        </w:rPr>
        <w:t>Pokazatelji rezultata</w:t>
      </w:r>
    </w:p>
    <w:tbl>
      <w:tblPr>
        <w:tblStyle w:val="Reetkatablice"/>
        <w:tblW w:w="9393" w:type="dxa"/>
        <w:jc w:val="center"/>
        <w:tblLayout w:type="fixed"/>
        <w:tblLook w:val="04A0" w:firstRow="1" w:lastRow="0" w:firstColumn="1" w:lastColumn="0" w:noHBand="0" w:noVBand="1"/>
      </w:tblPr>
      <w:tblGrid>
        <w:gridCol w:w="1483"/>
        <w:gridCol w:w="1914"/>
        <w:gridCol w:w="1134"/>
        <w:gridCol w:w="1134"/>
        <w:gridCol w:w="1276"/>
        <w:gridCol w:w="1276"/>
        <w:gridCol w:w="1176"/>
      </w:tblGrid>
      <w:tr w:rsidR="0017063A" w:rsidRPr="0017063A" w:rsidTr="00216115">
        <w:trPr>
          <w:trHeight w:val="520"/>
          <w:jc w:val="center"/>
        </w:trPr>
        <w:tc>
          <w:tcPr>
            <w:tcW w:w="1483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91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Definicija</w:t>
            </w:r>
          </w:p>
        </w:tc>
        <w:tc>
          <w:tcPr>
            <w:tcW w:w="113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Jedinica</w:t>
            </w:r>
          </w:p>
        </w:tc>
        <w:tc>
          <w:tcPr>
            <w:tcW w:w="113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Polazna vrijednost</w:t>
            </w:r>
          </w:p>
        </w:tc>
        <w:tc>
          <w:tcPr>
            <w:tcW w:w="1276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Izvor podataka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6565DA" w:rsidP="004038FC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038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7063A"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Ostvarena</w:t>
            </w:r>
          </w:p>
          <w:p w:rsidR="0017063A" w:rsidRPr="0017063A" w:rsidRDefault="0017063A" w:rsidP="001706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4038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038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65DA" w:rsidRPr="0017063A" w:rsidTr="00216115">
        <w:trPr>
          <w:trHeight w:val="999"/>
          <w:jc w:val="center"/>
        </w:trPr>
        <w:tc>
          <w:tcPr>
            <w:tcW w:w="1483" w:type="dxa"/>
          </w:tcPr>
          <w:p w:rsidR="006565DA" w:rsidRPr="00C6236C" w:rsidRDefault="006565DA" w:rsidP="006565DA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C6236C">
              <w:rPr>
                <w:rFonts w:ascii="Times New Roman" w:eastAsia="Times New Roman" w:hAnsi="Times New Roman" w:cs="Times New Roman"/>
              </w:rPr>
              <w:t>Postotak realizacije obnove zgrada oštećenih potresom u ožujku 2020. godine i prosincu 2020. godine</w:t>
            </w:r>
          </w:p>
        </w:tc>
        <w:tc>
          <w:tcPr>
            <w:tcW w:w="1914" w:type="dxa"/>
          </w:tcPr>
          <w:p w:rsidR="006565DA" w:rsidRPr="00C6236C" w:rsidRDefault="006565DA" w:rsidP="006565D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hr-HR" w:bidi="hr-HR"/>
              </w:rPr>
            </w:pPr>
            <w:r w:rsidRPr="00C623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Udio plaćenih računa za aktivnosti vezane uz obnovu zgrada od potresa u odnosu na ukupnu vrijednost ugovorenih projekata obnove zgrada od potresa iz ožujka i prosinca  2020. godine</w:t>
            </w:r>
          </w:p>
        </w:tc>
        <w:tc>
          <w:tcPr>
            <w:tcW w:w="1134" w:type="dxa"/>
          </w:tcPr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% </w:t>
            </w:r>
          </w:p>
          <w:p w:rsidR="006565DA" w:rsidRPr="0017063A" w:rsidRDefault="006565DA" w:rsidP="006565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>izvršenja aktivnosti</w:t>
            </w:r>
          </w:p>
        </w:tc>
        <w:tc>
          <w:tcPr>
            <w:tcW w:w="1134" w:type="dxa"/>
          </w:tcPr>
          <w:p w:rsidR="006565DA" w:rsidRPr="00E36A86" w:rsidRDefault="006565DA" w:rsidP="006565DA">
            <w:pPr>
              <w:ind w:right="19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          </w:t>
            </w:r>
          </w:p>
          <w:p w:rsidR="006565DA" w:rsidRDefault="006565DA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right="54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F10927">
            <w:pPr>
              <w:ind w:right="54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14154" w:rsidRDefault="00314154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4038FC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30,87</w:t>
            </w:r>
            <w:r w:rsidR="006565DA"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  <w:tc>
          <w:tcPr>
            <w:tcW w:w="1276" w:type="dxa"/>
          </w:tcPr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216115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61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Računovodstvo</w:t>
            </w:r>
          </w:p>
        </w:tc>
        <w:tc>
          <w:tcPr>
            <w:tcW w:w="1276" w:type="dxa"/>
          </w:tcPr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21C" w:rsidRDefault="00E7321C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Pr="0017063A" w:rsidRDefault="007C07CE" w:rsidP="004038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A6DC0">
              <w:rPr>
                <w:rFonts w:ascii="Times New Roman" w:eastAsia="Times New Roman" w:hAnsi="Times New Roman" w:cs="Times New Roman"/>
                <w:lang w:eastAsia="hr-HR"/>
              </w:rPr>
              <w:t xml:space="preserve">    </w:t>
            </w:r>
            <w:r w:rsidR="004038FC"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  <w:r w:rsidR="006565DA"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  <w:tc>
          <w:tcPr>
            <w:tcW w:w="1176" w:type="dxa"/>
          </w:tcPr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Default="00E20C4B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Default="00E20C4B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Default="00E20C4B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Pr="00547BCD" w:rsidRDefault="00CA6DC0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262DA">
              <w:rPr>
                <w:rFonts w:ascii="Times New Roman" w:eastAsia="Times New Roman" w:hAnsi="Times New Roman" w:cs="Times New Roman"/>
              </w:rPr>
              <w:t>46,56</w:t>
            </w:r>
            <w:r w:rsidR="00547BCD" w:rsidRPr="00547BCD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:rsidR="005215F3" w:rsidRDefault="007A663E" w:rsidP="005215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3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III Aktivnost T895009 – JAČANJE OTPORNOSTI ZDRAVSTVENOG </w:t>
      </w:r>
    </w:p>
    <w:p w:rsidR="00B66D31" w:rsidRDefault="005215F3" w:rsidP="005215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7A663E" w:rsidRPr="00A473E9">
        <w:rPr>
          <w:rFonts w:ascii="Times New Roman" w:eastAsia="Times New Roman" w:hAnsi="Times New Roman" w:cs="Times New Roman"/>
          <w:b/>
          <w:sz w:val="28"/>
          <w:szCs w:val="28"/>
        </w:rPr>
        <w:t>SUSTAVA NPOO C5.1</w:t>
      </w:r>
    </w:p>
    <w:p w:rsidR="000C6D5F" w:rsidRPr="00F01472" w:rsidRDefault="000C6D5F" w:rsidP="005215F3">
      <w:pPr>
        <w:spacing w:before="120" w:after="0" w:line="240" w:lineRule="auto"/>
        <w:ind w:right="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14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0C6D5F" w:rsidRDefault="000C6D5F" w:rsidP="005215F3">
      <w:pPr>
        <w:spacing w:before="120" w:after="0" w:line="240" w:lineRule="auto"/>
        <w:ind w:right="65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619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plan opor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>avka i otpornosti 2021. – 2026.; Ugovor o dodjeli bespovratnih sredstava Kodni broj: NPOO.C5.1-R3-I2.01.0077 specijalističko usavršavanje medicinskih s</w:t>
      </w:r>
      <w:r w:rsidR="005215F3">
        <w:rPr>
          <w:rFonts w:ascii="Times New Roman" w:eastAsia="Times New Roman" w:hAnsi="Times New Roman" w:cs="Times New Roman"/>
          <w:sz w:val="24"/>
          <w:szCs w:val="24"/>
          <w:lang w:eastAsia="hr-HR"/>
        </w:rPr>
        <w:t>estara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tehničara u djelatnosti hitne medicine</w:t>
      </w:r>
    </w:p>
    <w:p w:rsidR="000C6D5F" w:rsidRDefault="000C6D5F" w:rsidP="005215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D5F" w:rsidRPr="002A66D2" w:rsidRDefault="000C6D5F" w:rsidP="000C6D5F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 sredstva na razini aktivnosti</w:t>
      </w:r>
    </w:p>
    <w:tbl>
      <w:tblPr>
        <w:tblOverlap w:val="never"/>
        <w:tblW w:w="8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701"/>
        <w:gridCol w:w="992"/>
        <w:gridCol w:w="1234"/>
      </w:tblGrid>
      <w:tr w:rsidR="00C17E72" w:rsidRPr="0017063A" w:rsidTr="000F42C2">
        <w:trPr>
          <w:trHeight w:hRule="exact" w:val="181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E72" w:rsidRPr="0017063A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2024.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plan 2025.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2025.</w:t>
            </w:r>
          </w:p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/Tekući plan</w:t>
            </w:r>
          </w:p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C17E72" w:rsidRPr="00C17E72" w:rsidRDefault="00C17E72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</w:p>
          <w:p w:rsidR="00C17E72" w:rsidRPr="00C17E72" w:rsidRDefault="00C17E72" w:rsidP="00C17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17E72">
              <w:rPr>
                <w:rFonts w:ascii="Times New Roman" w:eastAsia="Times New Roman" w:hAnsi="Times New Roman" w:cs="Times New Roman"/>
                <w:sz w:val="20"/>
                <w:szCs w:val="20"/>
              </w:rPr>
              <w:t>2025./2024.</w:t>
            </w:r>
          </w:p>
        </w:tc>
      </w:tr>
      <w:tr w:rsidR="00C17E72" w:rsidRPr="00B12EDF" w:rsidTr="000F42C2">
        <w:trPr>
          <w:trHeight w:hRule="exact" w:val="110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E72" w:rsidRPr="0017063A" w:rsidRDefault="000F42C2" w:rsidP="000F4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C17E72"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89500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17E72"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JAČANJE OTPORNOSTI ZDRAVSTVENOG SUSTAVA NPOO C5.1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E72" w:rsidRPr="0017063A" w:rsidRDefault="00C17E72" w:rsidP="000C6D5F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E72" w:rsidRPr="0017063A" w:rsidRDefault="00C17E72" w:rsidP="000C6D5F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E72" w:rsidRPr="0017063A" w:rsidRDefault="00C17E72" w:rsidP="000C6D5F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161.401,30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E72" w:rsidRPr="00B12EDF" w:rsidRDefault="00C17E72" w:rsidP="000C6D5F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E72" w:rsidRPr="00B12EDF" w:rsidRDefault="00C17E72" w:rsidP="000C6D5F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2596" w:rsidRDefault="00232596" w:rsidP="005215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D5F" w:rsidRPr="0017063A" w:rsidRDefault="000C6D5F" w:rsidP="000C6D5F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063A">
        <w:rPr>
          <w:rFonts w:ascii="Times New Roman" w:eastAsia="Times New Roman" w:hAnsi="Times New Roman" w:cs="Times New Roman"/>
          <w:b/>
        </w:rPr>
        <w:t>Opis aktivnosti</w:t>
      </w:r>
    </w:p>
    <w:p w:rsidR="000C6D5F" w:rsidRDefault="000C6D5F" w:rsidP="00E36AEC">
      <w:pPr>
        <w:spacing w:after="0" w:line="240" w:lineRule="auto"/>
        <w:ind w:right="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od komponenti Nacionalnog plana oporavka i otpornosti 2021. – 2026. je i komponenta C5.1 Jačanje otpornosti zdravstvenog sustava unutar koje je i mjera C5.1 R</w:t>
      </w:r>
      <w:r w:rsidR="00DB39F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-I</w:t>
      </w:r>
      <w:r w:rsidR="00DB39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39F6"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Specijalističko usavršavanje medicinskih sestara i tehničara u djelatnosti hitne medicine.</w:t>
      </w:r>
    </w:p>
    <w:p w:rsidR="004152CC" w:rsidRDefault="004152CC" w:rsidP="005215F3">
      <w:pPr>
        <w:spacing w:before="120"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0C6D5F"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DB3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DB3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</w:t>
      </w:r>
      <w:r w:rsidR="005215F3"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 w:rsidR="00DB3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specijalističko osposobljavanje medicinskih sestara i tehničara u području hitne medicine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bi im se omogućilo da samostalno rade u hitnim medicinskim službama. Usavršavanje omoguć</w:t>
      </w:r>
      <w:r w:rsidR="005215F3">
        <w:rPr>
          <w:rFonts w:ascii="Times New Roman" w:eastAsia="Times New Roman" w:hAnsi="Times New Roman" w:cs="Times New Roman"/>
          <w:sz w:val="24"/>
          <w:szCs w:val="24"/>
          <w:lang w:eastAsia="hr-HR"/>
        </w:rPr>
        <w:t>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pružanj</w:t>
      </w:r>
      <w:r w:rsidR="005215F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šireg opsega zdravstvenih usluga hitnim pacijentima za čiji velik broj neće biti potreban liječnik.</w:t>
      </w:r>
    </w:p>
    <w:p w:rsidR="000C6D5F" w:rsidRDefault="000C6D5F" w:rsidP="005215F3">
      <w:pPr>
        <w:spacing w:before="120"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52C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financijskom planu 2025. godine </w:t>
      </w:r>
      <w:r w:rsidR="0041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navedenu je mjeru </w:t>
      </w:r>
      <w:r w:rsidR="0021611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</w:t>
      </w:r>
      <w:r w:rsidR="00415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 od 176.964 eura</w:t>
      </w:r>
      <w:r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aktivnosti </w:t>
      </w:r>
      <w:r w:rsidR="000859AC">
        <w:rPr>
          <w:rFonts w:ascii="Times New Roman" w:eastAsia="Times New Roman" w:hAnsi="Times New Roman" w:cs="Times New Roman"/>
          <w:sz w:val="24"/>
          <w:szCs w:val="24"/>
          <w:lang w:eastAsia="hr-HR"/>
        </w:rPr>
        <w:t>A895001</w:t>
      </w:r>
      <w:r w:rsidRPr="001545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0859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Administracija i upravljanje na izvoru 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financiranja</w:t>
      </w:r>
      <w:r w:rsidR="000859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 Ostale pomoći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A75A2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dobivene suglasnosti Ministarstva financija sredstva u iznosu 161.401,30 eura</w:t>
      </w:r>
      <w:r w:rsidR="005A7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prebačena su na novu aktivnost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T895009 – Jačanje otpornosti zdravstvenog sustava NPOO C5.1, </w:t>
      </w:r>
      <w:r w:rsidR="00232596" w:rsidRPr="00D47B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581 Mehanizam za oporavak i otpornost.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Najveći dio ili 87,13 %  izvršenih sredstava odnosi se na plaće za redovan rad i pripadajuće doprinose za obvezno zdravstveno osiguranje, a 12,87 % izvršenih sredstava na naknade za prijevoz, stručno usavršavanje zaposlenika te intelektualne i osobne usluge.</w:t>
      </w:r>
    </w:p>
    <w:p w:rsidR="004038FC" w:rsidRDefault="004038FC" w:rsidP="00232596">
      <w:pPr>
        <w:spacing w:after="0" w:line="240" w:lineRule="auto"/>
        <w:ind w:right="6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38FC" w:rsidRPr="0017063A" w:rsidRDefault="004038FC" w:rsidP="004038F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81C0F">
        <w:rPr>
          <w:rFonts w:ascii="Times New Roman" w:eastAsia="Times New Roman" w:hAnsi="Times New Roman" w:cs="Times New Roman"/>
          <w:b/>
        </w:rPr>
        <w:t>Pokazatelji rezultata</w:t>
      </w:r>
    </w:p>
    <w:tbl>
      <w:tblPr>
        <w:tblStyle w:val="Reetkatablice"/>
        <w:tblW w:w="9393" w:type="dxa"/>
        <w:jc w:val="center"/>
        <w:tblLook w:val="04A0" w:firstRow="1" w:lastRow="0" w:firstColumn="1" w:lastColumn="0" w:noHBand="0" w:noVBand="1"/>
      </w:tblPr>
      <w:tblGrid>
        <w:gridCol w:w="1536"/>
        <w:gridCol w:w="1682"/>
        <w:gridCol w:w="1061"/>
        <w:gridCol w:w="1097"/>
        <w:gridCol w:w="1585"/>
        <w:gridCol w:w="1148"/>
        <w:gridCol w:w="1284"/>
      </w:tblGrid>
      <w:tr w:rsidR="00145D8C" w:rsidRPr="0017063A" w:rsidTr="00F00BE3">
        <w:trPr>
          <w:trHeight w:val="520"/>
          <w:jc w:val="center"/>
        </w:trPr>
        <w:tc>
          <w:tcPr>
            <w:tcW w:w="1483" w:type="dxa"/>
          </w:tcPr>
          <w:p w:rsidR="004038FC" w:rsidRPr="0017063A" w:rsidRDefault="004038FC" w:rsidP="00F00B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761" w:type="dxa"/>
          </w:tcPr>
          <w:p w:rsidR="004038FC" w:rsidRPr="0017063A" w:rsidRDefault="004038FC" w:rsidP="00F00B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Definicija</w:t>
            </w:r>
          </w:p>
        </w:tc>
        <w:tc>
          <w:tcPr>
            <w:tcW w:w="1084" w:type="dxa"/>
          </w:tcPr>
          <w:p w:rsidR="004038FC" w:rsidRPr="0017063A" w:rsidRDefault="004038FC" w:rsidP="00F00B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Jedinica</w:t>
            </w:r>
          </w:p>
        </w:tc>
        <w:tc>
          <w:tcPr>
            <w:tcW w:w="1097" w:type="dxa"/>
          </w:tcPr>
          <w:p w:rsidR="004038FC" w:rsidRPr="0017063A" w:rsidRDefault="004038FC" w:rsidP="00F00B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Polazna vrijednost</w:t>
            </w:r>
          </w:p>
        </w:tc>
        <w:tc>
          <w:tcPr>
            <w:tcW w:w="1488" w:type="dxa"/>
          </w:tcPr>
          <w:p w:rsidR="004038FC" w:rsidRPr="0017063A" w:rsidRDefault="004038FC" w:rsidP="00F00BE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Izvor podataka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38FC" w:rsidRPr="0017063A" w:rsidRDefault="004038FC" w:rsidP="00F00BE3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4038FC" w:rsidRPr="0017063A" w:rsidRDefault="004038FC" w:rsidP="00F00BE3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4038FC" w:rsidRPr="0017063A" w:rsidRDefault="004038FC" w:rsidP="00F00BE3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FC" w:rsidRPr="0017063A" w:rsidRDefault="004038FC" w:rsidP="00F00BE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Ostvarena</w:t>
            </w:r>
          </w:p>
          <w:p w:rsidR="004038FC" w:rsidRPr="0017063A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4038FC" w:rsidRPr="0017063A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2025.</w:t>
            </w:r>
          </w:p>
        </w:tc>
      </w:tr>
      <w:tr w:rsidR="00145D8C" w:rsidRPr="0017063A" w:rsidTr="00F00BE3">
        <w:trPr>
          <w:trHeight w:val="999"/>
          <w:jc w:val="center"/>
        </w:trPr>
        <w:tc>
          <w:tcPr>
            <w:tcW w:w="1483" w:type="dxa"/>
          </w:tcPr>
          <w:p w:rsidR="004038FC" w:rsidRPr="00C6236C" w:rsidRDefault="004038FC" w:rsidP="00145D8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Broj provedenih specijalističkih usavršavanja</w:t>
            </w:r>
          </w:p>
        </w:tc>
        <w:tc>
          <w:tcPr>
            <w:tcW w:w="1761" w:type="dxa"/>
          </w:tcPr>
          <w:p w:rsidR="004038FC" w:rsidRPr="00C6236C" w:rsidRDefault="00145D8C" w:rsidP="00145D8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hr-HR" w:bidi="hr-HR"/>
              </w:rPr>
              <w:t>Povećanje učinkovitosti educiranih djelatnika i njihova samostalnost u pružanju skrbi</w:t>
            </w:r>
          </w:p>
        </w:tc>
        <w:tc>
          <w:tcPr>
            <w:tcW w:w="1084" w:type="dxa"/>
          </w:tcPr>
          <w:p w:rsidR="004038FC" w:rsidRDefault="004038FC" w:rsidP="00F00BE3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038FC" w:rsidRDefault="004038FC" w:rsidP="00F00BE3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038FC" w:rsidRPr="0017063A" w:rsidRDefault="00145D8C" w:rsidP="00F00BE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038FC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1097" w:type="dxa"/>
          </w:tcPr>
          <w:p w:rsidR="004038FC" w:rsidRPr="00E36A86" w:rsidRDefault="004038FC" w:rsidP="00F00BE3">
            <w:pPr>
              <w:ind w:right="19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          </w:t>
            </w:r>
          </w:p>
          <w:p w:rsidR="004038FC" w:rsidRDefault="004038FC" w:rsidP="00F00BE3">
            <w:pPr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038FC" w:rsidRPr="00E36A86" w:rsidRDefault="00145D8C" w:rsidP="00E36AEC">
            <w:pPr>
              <w:ind w:right="54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</w:t>
            </w:r>
            <w:r w:rsidR="00E36AEC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488" w:type="dxa"/>
          </w:tcPr>
          <w:p w:rsidR="004038FC" w:rsidRPr="00E36A86" w:rsidRDefault="004038FC" w:rsidP="00F00BE3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038FC" w:rsidRPr="00E36A86" w:rsidRDefault="004038FC" w:rsidP="00F00BE3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038FC" w:rsidRPr="00E36A86" w:rsidRDefault="004038FC" w:rsidP="004038FC">
            <w:pPr>
              <w:ind w:right="-84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>Računovodstvo</w:t>
            </w:r>
          </w:p>
        </w:tc>
        <w:tc>
          <w:tcPr>
            <w:tcW w:w="1148" w:type="dxa"/>
          </w:tcPr>
          <w:p w:rsidR="004038FC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8FC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8FC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038FC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8FC" w:rsidRDefault="004038FC" w:rsidP="00F00BE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8FC" w:rsidRPr="0017063A" w:rsidRDefault="004038FC" w:rsidP="004038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332" w:type="dxa"/>
          </w:tcPr>
          <w:p w:rsidR="004038FC" w:rsidRPr="00145D8C" w:rsidRDefault="004038FC" w:rsidP="00145D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D8C" w:rsidRPr="00145D8C" w:rsidRDefault="00145D8C" w:rsidP="00145D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5D8C" w:rsidRPr="00145D8C" w:rsidRDefault="00145D8C" w:rsidP="00145D8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14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038FC" w:rsidRDefault="004038FC" w:rsidP="00232596">
      <w:pPr>
        <w:spacing w:after="0" w:line="240" w:lineRule="auto"/>
        <w:ind w:right="657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63A" w:rsidRDefault="0017063A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6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3605 SIGURNOST GRAĐANA I PRAVA NA ZDRAVSTVENE USLUGE</w:t>
      </w:r>
    </w:p>
    <w:p w:rsidR="002A66D2" w:rsidRPr="0017063A" w:rsidRDefault="002A66D2" w:rsidP="002A66D2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126"/>
      <w:r w:rsidRPr="00344B13">
        <w:rPr>
          <w:rFonts w:ascii="Times New Roman" w:eastAsia="Times New Roman" w:hAnsi="Times New Roman" w:cs="Times New Roman"/>
          <w:b/>
          <w:bCs/>
          <w:sz w:val="24"/>
          <w:szCs w:val="24"/>
        </w:rPr>
        <w:t>Cilj 1. Zaštita, očuvanje i unapređenje zdravlja</w:t>
      </w:r>
    </w:p>
    <w:p w:rsidR="004C5F38" w:rsidRDefault="00C6236C" w:rsidP="001C069F">
      <w:pPr>
        <w:widowControl w:val="0"/>
        <w:spacing w:before="120"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3E9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7A663E" w:rsidRPr="00A473E9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2A66D2" w:rsidRPr="00A473E9">
        <w:rPr>
          <w:rFonts w:ascii="Times New Roman" w:eastAsia="Times New Roman" w:hAnsi="Times New Roman" w:cs="Times New Roman"/>
          <w:b/>
          <w:sz w:val="28"/>
          <w:szCs w:val="28"/>
        </w:rPr>
        <w:t xml:space="preserve"> Aktivnost</w:t>
      </w:r>
      <w:r w:rsidR="004C5F38" w:rsidRPr="00A473E9">
        <w:rPr>
          <w:rFonts w:ascii="Times New Roman" w:eastAsia="Times New Roman" w:hAnsi="Times New Roman" w:cs="Times New Roman"/>
          <w:b/>
          <w:sz w:val="28"/>
          <w:szCs w:val="28"/>
        </w:rPr>
        <w:t xml:space="preserve"> A895001</w:t>
      </w:r>
      <w:r w:rsidR="002A66D2" w:rsidRPr="00A473E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4C5F38" w:rsidRPr="00A473E9">
        <w:rPr>
          <w:rFonts w:ascii="Times New Roman" w:eastAsia="Times New Roman" w:hAnsi="Times New Roman" w:cs="Times New Roman"/>
          <w:b/>
          <w:sz w:val="28"/>
          <w:szCs w:val="28"/>
        </w:rPr>
        <w:t xml:space="preserve"> ADMINISTRACIJA I UPRAVLJANJE</w:t>
      </w:r>
    </w:p>
    <w:p w:rsidR="002A66D2" w:rsidRPr="0017063A" w:rsidRDefault="002A66D2" w:rsidP="002A66D2">
      <w:pPr>
        <w:keepNext/>
        <w:keepLines/>
        <w:widowControl w:val="0"/>
        <w:spacing w:before="240"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bookmarkStart w:id="5" w:name="bookmark127"/>
      <w:r w:rsidRPr="0017063A">
        <w:rPr>
          <w:rFonts w:ascii="Times New Roman" w:eastAsia="Times New Roman" w:hAnsi="Times New Roman" w:cs="Times New Roman"/>
          <w:b/>
          <w:bCs/>
        </w:rPr>
        <w:t>Zakonske i druge pravne osnove</w:t>
      </w:r>
      <w:bookmarkEnd w:id="5"/>
    </w:p>
    <w:p w:rsidR="00B66D31" w:rsidRDefault="002A66D2" w:rsidP="002A66D2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152C6F">
        <w:rPr>
          <w:rFonts w:ascii="Times New Roman" w:eastAsia="Times New Roman" w:hAnsi="Times New Roman" w:cs="Times New Roman"/>
          <w:sz w:val="24"/>
          <w:szCs w:val="24"/>
        </w:rPr>
        <w:t>Zakon o zdravstvenoj zaštiti; Zakon o obveznom zdravstvenom osiguranju; Opći uvjeti ugovora o dopunskom zdravstvenom osiguranju; Zakon o djelatnostima u zdravstvu; Zakon o zaštiti prava pacijenata; Odluka o osnovama za sklapanje ugovora o provođenju zdravstvene zaštite iz obveznog zdravstvenog osiguranja; Ugovor o provođenju bolničke i specijalističko-konzilijarne zdravstvene zaštite s HZZO; Zakon o proračunu; Zakon o radu; Zakon o porezu na dohodak; Zakon o PDV-u; Zakon o obveznim odnosima; Zakon o zakupu poslovnog prostora; Pravilnik o uvjetima i načinu provođenja dopunskog zdravstvenog osiguranja; Uredba o fiskalnoj odgovornosti; Interni akt Odluka o naplati nenaplaćenih potraživanja; Kolektivni ugovor za djelatnost zdravstva i zdravstvenog osiguranja; Temeljni kolektivni ugovor za službenike i namještenike u javnim službama; Ugovor o provođenju Nacionalnog programa prevencije raka dojke s HZZO; Ugovor o provođenju Nacionalnog programa ranog otkrivanja raka debelog crijeva s HZZO; Ugovor o provođenju Nacionalnog programa za probir i rano otkrivanje raka pluća; Ugovor o provođenju Nacionalnog preventivnog programa ranog otkrivanja slabovidnosti s HZZO;</w:t>
      </w:r>
      <w:r w:rsidRPr="0017063A">
        <w:rPr>
          <w:rFonts w:ascii="Times New Roman" w:eastAsia="Times New Roman" w:hAnsi="Times New Roman" w:cs="Times New Roman"/>
        </w:rPr>
        <w:t xml:space="preserve"> Nacionalni plan razvoja zdravstva u razdoblju od 2021. do 2027. godine</w:t>
      </w:r>
    </w:p>
    <w:p w:rsidR="0017063A" w:rsidRPr="002A66D2" w:rsidRDefault="001D7148" w:rsidP="002A66D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</w:t>
      </w:r>
      <w:r w:rsidR="00C429C0">
        <w:rPr>
          <w:rFonts w:ascii="Times New Roman" w:eastAsia="Times New Roman" w:hAnsi="Times New Roman" w:cs="Times New Roman"/>
          <w:b/>
          <w:sz w:val="24"/>
          <w:szCs w:val="24"/>
        </w:rPr>
        <w:t>ka sredstva na razini ak</w:t>
      </w:r>
      <w:bookmarkEnd w:id="4"/>
      <w:r w:rsidR="00C6236C">
        <w:rPr>
          <w:rFonts w:ascii="Times New Roman" w:eastAsia="Times New Roman" w:hAnsi="Times New Roman" w:cs="Times New Roman"/>
          <w:b/>
          <w:sz w:val="24"/>
          <w:szCs w:val="24"/>
        </w:rPr>
        <w:t>tivnosti</w:t>
      </w:r>
    </w:p>
    <w:tbl>
      <w:tblPr>
        <w:tblOverlap w:val="never"/>
        <w:tblW w:w="8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701"/>
        <w:gridCol w:w="992"/>
        <w:gridCol w:w="1234"/>
      </w:tblGrid>
      <w:tr w:rsidR="005E58E4" w:rsidRPr="0017063A" w:rsidTr="00FB2586">
        <w:trPr>
          <w:trHeight w:hRule="exact" w:val="142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14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143D23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Tekući plan 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/Tekući plan</w:t>
            </w:r>
          </w:p>
          <w:p w:rsidR="005E58E4" w:rsidRPr="000F42C2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A663E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0F42C2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</w:p>
          <w:p w:rsidR="005E58E4" w:rsidRPr="000F42C2" w:rsidRDefault="005E58E4" w:rsidP="000F42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F42C2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0F42C2"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42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A44970">
        <w:trPr>
          <w:trHeight w:hRule="exact" w:val="9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A895001- ADMINISTRACIJA  I UPRAVLJANJE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43D23" w:rsidP="00890D80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286.304672,37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7A663E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326.889.570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7A663E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329.314.122,48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B12EDF" w:rsidRDefault="007A663E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B12EDF" w:rsidRDefault="000F42C2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115,02</w:t>
            </w:r>
          </w:p>
        </w:tc>
      </w:tr>
    </w:tbl>
    <w:p w:rsidR="00E7321C" w:rsidRDefault="00E7321C" w:rsidP="0017063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6" w:name="bookmark128"/>
    </w:p>
    <w:p w:rsidR="0017063A" w:rsidRPr="0017063A" w:rsidRDefault="0017063A" w:rsidP="0017063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063A">
        <w:rPr>
          <w:rFonts w:ascii="Times New Roman" w:eastAsia="Times New Roman" w:hAnsi="Times New Roman" w:cs="Times New Roman"/>
          <w:b/>
        </w:rPr>
        <w:t>Opis aktivnosti</w:t>
      </w:r>
      <w:bookmarkEnd w:id="6"/>
    </w:p>
    <w:p w:rsidR="004A4FA2" w:rsidRDefault="0017063A" w:rsidP="00FB2586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FB2586">
        <w:rPr>
          <w:rFonts w:ascii="Times New Roman" w:eastAsia="Times New Roman" w:hAnsi="Times New Roman" w:cs="Times New Roman"/>
          <w:sz w:val="24"/>
          <w:szCs w:val="24"/>
        </w:rPr>
        <w:t>ira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na sredstva za 202</w:t>
      </w:r>
      <w:r w:rsidR="004A4F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. godinu utrošena su za obavljanje osnovne djelatnosti - pružanje zdravstvenih usluga kroz stacionarno liječenje i specijalističko-konzilijarnu zdravstvenu zaštitu (ambulantno liječenje, specijalistička dijagnostika, dnevne bolnice, hemodijaliza). U Kliničkom bolničkom centru pružaju se i usluge medicinski potpomognute oplodnje, intervencijske kardiologije, intervencijske neurologije i </w:t>
      </w:r>
      <w:proofErr w:type="spellStart"/>
      <w:r w:rsidRPr="00547BCD">
        <w:rPr>
          <w:rFonts w:ascii="Times New Roman" w:eastAsia="Times New Roman" w:hAnsi="Times New Roman" w:cs="Times New Roman"/>
          <w:sz w:val="24"/>
          <w:szCs w:val="24"/>
        </w:rPr>
        <w:t>neuroradiologije</w:t>
      </w:r>
      <w:proofErr w:type="spellEnd"/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, ERCP, primjene posebno skupih lijekova, primjene katetera za kompleksne aritmije, zdravstvene zaštite za hrvatske državljane s prebivalištem u Bosni i Hercegovini, transplantacije, eksplantacije, zdravstvene zaštite osnovom međudržavnih ugovora o socijalnom osiguranju, zdravstvene zaštite na radu, provođenja Nacionalnih programa prevencije raka dojke, ranog otkrivanja raka debelog crijeva, ranog otkrivanja slabovidnosti i ranog otkrivanja raka pluća. </w:t>
      </w:r>
    </w:p>
    <w:p w:rsidR="003D2396" w:rsidRDefault="00FB2586" w:rsidP="00FB2586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D2396">
        <w:rPr>
          <w:rFonts w:ascii="Times New Roman" w:eastAsia="Times New Roman" w:hAnsi="Times New Roman" w:cs="Times New Roman"/>
          <w:sz w:val="24"/>
          <w:szCs w:val="24"/>
        </w:rPr>
        <w:t>ekući plan na ovoj akt</w:t>
      </w:r>
      <w:r>
        <w:rPr>
          <w:rFonts w:ascii="Times New Roman" w:eastAsia="Times New Roman" w:hAnsi="Times New Roman" w:cs="Times New Roman"/>
          <w:sz w:val="24"/>
          <w:szCs w:val="24"/>
        </w:rPr>
        <w:t>ivnosti iznosi 326.889.570 eura, a izvršen je 100,74 %.</w:t>
      </w:r>
    </w:p>
    <w:p w:rsidR="008C2D79" w:rsidRDefault="008C2D79" w:rsidP="00FB2586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8C2D79">
        <w:rPr>
          <w:rFonts w:ascii="Times New Roman" w:eastAsia="Times New Roman" w:hAnsi="Times New Roman" w:cs="Times New Roman"/>
          <w:b/>
          <w:sz w:val="24"/>
          <w:szCs w:val="24"/>
        </w:rPr>
        <w:t>izvoru financiranja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Opći prihodi i primici 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tekući plan </w:t>
      </w:r>
      <w:r w:rsidR="00B32635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>iznosi</w:t>
      </w:r>
      <w:r w:rsidR="00B326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 34.588.188 eura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ostvaren 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>je</w:t>
      </w:r>
      <w:r w:rsidR="00D907B3">
        <w:rPr>
          <w:rFonts w:ascii="Times New Roman" w:eastAsia="Times New Roman" w:hAnsi="Times New Roman" w:cs="Times New Roman"/>
          <w:sz w:val="24"/>
          <w:szCs w:val="24"/>
        </w:rPr>
        <w:t xml:space="preserve"> 100 %. Sredstva su planirana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 temeljem </w:t>
      </w:r>
      <w:r w:rsidR="00817085" w:rsidRPr="00817085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817085" w:rsidRPr="00817085">
        <w:rPr>
          <w:rFonts w:ascii="Times New Roman" w:eastAsia="Times New Roman" w:hAnsi="Times New Roman" w:cs="Times New Roman"/>
          <w:sz w:val="24"/>
          <w:szCs w:val="24"/>
        </w:rPr>
        <w:t xml:space="preserve"> Vlade Republike Hrvatske o isplati sredstava i namjenske pomoći zdravstvenim ustanovama za podmirivanje dijela dospjelih obveza prema dobavljačima lijekova, potrošnog i ugradbenog medicinskog materijala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 iz l</w:t>
      </w:r>
      <w:r w:rsidR="00D907B3">
        <w:rPr>
          <w:rFonts w:ascii="Times New Roman" w:eastAsia="Times New Roman" w:hAnsi="Times New Roman" w:cs="Times New Roman"/>
          <w:sz w:val="24"/>
          <w:szCs w:val="24"/>
        </w:rPr>
        <w:t>ipnja i studenog 2025. godine, te su i utrošena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 za navedenu namjenu. </w:t>
      </w:r>
    </w:p>
    <w:p w:rsidR="00F27A7D" w:rsidRDefault="00F27A7D" w:rsidP="006023FB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A7D">
        <w:rPr>
          <w:rFonts w:ascii="Times New Roman" w:eastAsia="Times New Roman" w:hAnsi="Times New Roman" w:cs="Times New Roman"/>
          <w:sz w:val="24"/>
          <w:szCs w:val="24"/>
        </w:rPr>
        <w:lastRenderedPageBreak/>
        <w:t>Iz vlastitih prihoda 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31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 xml:space="preserve">) utrošeno je 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>728.679,03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 xml:space="preserve"> eura što je 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>28,45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 xml:space="preserve"> % više od planiranog iznosa. Navedenim sredstvima podmireni su najvećim dijelom troškovi </w:t>
      </w:r>
      <w:r w:rsidR="00817085" w:rsidRPr="00817085">
        <w:rPr>
          <w:rFonts w:ascii="Times New Roman" w:eastAsia="Times New Roman" w:hAnsi="Times New Roman" w:cs="Times New Roman"/>
          <w:sz w:val="24"/>
          <w:szCs w:val="24"/>
        </w:rPr>
        <w:t>organizacije simpozija i kongresa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2192" w:rsidRPr="00817085">
        <w:rPr>
          <w:rFonts w:ascii="Times New Roman" w:eastAsia="Times New Roman" w:hAnsi="Times New Roman" w:cs="Times New Roman"/>
          <w:sz w:val="24"/>
          <w:szCs w:val="24"/>
        </w:rPr>
        <w:t>honorara timova za klinička ispitivanja,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085" w:rsidRPr="00817085">
        <w:rPr>
          <w:rFonts w:ascii="Times New Roman" w:eastAsia="Times New Roman" w:hAnsi="Times New Roman" w:cs="Times New Roman"/>
          <w:sz w:val="24"/>
          <w:szCs w:val="24"/>
        </w:rPr>
        <w:t>stručnog usavršavanja zaposlenika</w:t>
      </w:r>
      <w:r w:rsidR="008170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7085" w:rsidRPr="00817085">
        <w:rPr>
          <w:rFonts w:ascii="Times New Roman" w:eastAsia="Times New Roman" w:hAnsi="Times New Roman" w:cs="Times New Roman"/>
          <w:sz w:val="24"/>
          <w:szCs w:val="24"/>
        </w:rPr>
        <w:t>službenih putovanja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 xml:space="preserve"> te troškovi reagensa i 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 xml:space="preserve">potrošnog medicinskog materijala 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 xml:space="preserve">i održavanje uređaja 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 xml:space="preserve">za potrebe znanstvenih radova Kliničkog zavoda za kemiju. </w:t>
      </w:r>
    </w:p>
    <w:p w:rsidR="00892C84" w:rsidRDefault="0017063A" w:rsidP="008B6DC9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sz w:val="24"/>
          <w:szCs w:val="24"/>
        </w:rPr>
        <w:t>Na ostalim prihodima za posebne namjene 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43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) planirano je 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>290.864.753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07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a izvršeno 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>282.365.261,60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>2,92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>manje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. Ovi prihodi se najvećim dijelom ostvaruju kao prihodi od Hrvatskog zavoda za zdravstveno osiguranje i glavni su izvor prihoda Ustanove, a usmjereni su na pružanje što kvalitetnije usluge liječenja na</w:t>
      </w:r>
      <w:r w:rsidR="003F600C">
        <w:rPr>
          <w:rFonts w:ascii="Times New Roman" w:eastAsia="Times New Roman" w:hAnsi="Times New Roman" w:cs="Times New Roman"/>
          <w:sz w:val="24"/>
          <w:szCs w:val="24"/>
        </w:rPr>
        <w:t>ših bolesnika. Najveći dio tih sredstava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>172.117.229,97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 w:rsidR="006023FB">
        <w:rPr>
          <w:rFonts w:ascii="Times New Roman" w:eastAsia="Times New Roman" w:hAnsi="Times New Roman" w:cs="Times New Roman"/>
          <w:sz w:val="24"/>
          <w:szCs w:val="24"/>
        </w:rPr>
        <w:t>60,96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%) utrošen je za plaće zaposlenika, ostale rashode za zaposlene, doprinose na plaće, te naknade za prijevoz zaposlenima, službena putovanja i stručno usavršavanje zaposlenika. Iznos</w:t>
      </w:r>
      <w:r w:rsidR="00D907B3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D17">
        <w:rPr>
          <w:rFonts w:ascii="Times New Roman" w:eastAsia="Times New Roman" w:hAnsi="Times New Roman" w:cs="Times New Roman"/>
          <w:sz w:val="24"/>
          <w:szCs w:val="24"/>
        </w:rPr>
        <w:t>107.105.532,16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 w:rsidR="001A5D17">
        <w:rPr>
          <w:rFonts w:ascii="Times New Roman" w:eastAsia="Times New Roman" w:hAnsi="Times New Roman" w:cs="Times New Roman"/>
          <w:sz w:val="24"/>
          <w:szCs w:val="24"/>
        </w:rPr>
        <w:t>37,93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 utrošen je na materijalne rashode</w:t>
      </w:r>
      <w:r w:rsidR="00827587">
        <w:rPr>
          <w:rFonts w:ascii="Times New Roman" w:eastAsia="Times New Roman" w:hAnsi="Times New Roman" w:cs="Times New Roman"/>
          <w:sz w:val="24"/>
          <w:szCs w:val="24"/>
        </w:rPr>
        <w:t xml:space="preserve"> bez naknade troškova zaposlenima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od kojih se najveći dio odnosi na medicinski materijal (lijekovi, potrošni medicinski materijal, krv i krvni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 xml:space="preserve"> pripravci i sl.) te 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usluge tekućeg i investicijskog održavanja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 xml:space="preserve"> i ostale </w:t>
      </w:r>
      <w:r w:rsidR="00AD0085">
        <w:rPr>
          <w:rFonts w:ascii="Times New Roman" w:eastAsia="Times New Roman" w:hAnsi="Times New Roman" w:cs="Times New Roman"/>
          <w:sz w:val="24"/>
          <w:szCs w:val="24"/>
        </w:rPr>
        <w:t>uslug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e (usluge čuvanja imovine, troškove pranja rublja te vanjske specijalizante)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. Na financijske rashode kao što su bankarske usluge i usluge platnog prometa te zatezne kamate odnosi se </w:t>
      </w:r>
      <w:r w:rsidR="001A5D17">
        <w:rPr>
          <w:rFonts w:ascii="Times New Roman" w:eastAsia="Times New Roman" w:hAnsi="Times New Roman" w:cs="Times New Roman"/>
          <w:sz w:val="24"/>
          <w:szCs w:val="24"/>
        </w:rPr>
        <w:t>1,06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 utrošenih sredstava dok je 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1A5D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A95E8A">
        <w:rPr>
          <w:rFonts w:ascii="Times New Roman" w:eastAsia="Times New Roman" w:hAnsi="Times New Roman" w:cs="Times New Roman"/>
          <w:sz w:val="24"/>
          <w:szCs w:val="24"/>
        </w:rPr>
        <w:t xml:space="preserve"> iznosa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utrošen</w:t>
      </w:r>
      <w:r w:rsidR="00A95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na ostale naknade šteta. </w:t>
      </w:r>
    </w:p>
    <w:p w:rsidR="00F86FB4" w:rsidRPr="00F86FB4" w:rsidRDefault="00F34FEC" w:rsidP="008B6DC9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FEC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BB0856" w:rsidRPr="00F34FEC">
        <w:rPr>
          <w:rFonts w:ascii="Times New Roman" w:eastAsia="Times New Roman" w:hAnsi="Times New Roman" w:cs="Times New Roman"/>
          <w:b/>
          <w:sz w:val="24"/>
          <w:szCs w:val="24"/>
        </w:rPr>
        <w:t>zvor</w:t>
      </w:r>
      <w:r w:rsidR="00BB0856">
        <w:rPr>
          <w:rFonts w:ascii="Times New Roman" w:eastAsia="Times New Roman" w:hAnsi="Times New Roman" w:cs="Times New Roman"/>
          <w:b/>
          <w:sz w:val="24"/>
          <w:szCs w:val="24"/>
        </w:rPr>
        <w:t>u financiranja 5</w:t>
      </w:r>
      <w:r w:rsidR="00BB0856" w:rsidRPr="00BB0856">
        <w:rPr>
          <w:rFonts w:ascii="Times New Roman" w:eastAsia="Times New Roman" w:hAnsi="Times New Roman" w:cs="Times New Roman"/>
          <w:b/>
          <w:sz w:val="24"/>
          <w:szCs w:val="24"/>
        </w:rPr>
        <w:t>1 Pomoći EU</w:t>
      </w:r>
      <w:r w:rsidR="00F86F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6FB4" w:rsidRPr="00F86FB4">
        <w:rPr>
          <w:rFonts w:ascii="Times New Roman" w:eastAsia="Times New Roman" w:hAnsi="Times New Roman" w:cs="Times New Roman"/>
          <w:sz w:val="24"/>
          <w:szCs w:val="24"/>
        </w:rPr>
        <w:t>planirana sredstva se odnose na provedbu projekta JANE-2</w:t>
      </w:r>
      <w:r w:rsidR="00F86F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FB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86FB4" w:rsidRPr="00F86FB4">
        <w:rPr>
          <w:rFonts w:ascii="Times New Roman" w:eastAsia="Times New Roman" w:hAnsi="Times New Roman" w:cs="Times New Roman"/>
          <w:sz w:val="24"/>
          <w:szCs w:val="24"/>
        </w:rPr>
        <w:t xml:space="preserve">tekući plan </w:t>
      </w:r>
      <w:r w:rsidR="00AD0085">
        <w:rPr>
          <w:rFonts w:ascii="Times New Roman" w:eastAsia="Times New Roman" w:hAnsi="Times New Roman" w:cs="Times New Roman"/>
          <w:sz w:val="24"/>
          <w:szCs w:val="24"/>
        </w:rPr>
        <w:t xml:space="preserve">u iznosu od </w:t>
      </w:r>
      <w:r w:rsidR="00F86FB4">
        <w:rPr>
          <w:rFonts w:ascii="Times New Roman" w:eastAsia="Times New Roman" w:hAnsi="Times New Roman" w:cs="Times New Roman"/>
          <w:sz w:val="24"/>
          <w:szCs w:val="24"/>
        </w:rPr>
        <w:t>207.644 eura</w:t>
      </w:r>
      <w:r w:rsidR="003E5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FB4">
        <w:rPr>
          <w:rFonts w:ascii="Times New Roman" w:eastAsia="Times New Roman" w:hAnsi="Times New Roman" w:cs="Times New Roman"/>
          <w:sz w:val="24"/>
          <w:szCs w:val="24"/>
        </w:rPr>
        <w:t>ostvaren je 75</w:t>
      </w:r>
      <w:r w:rsidR="00AD0085">
        <w:rPr>
          <w:rFonts w:ascii="Times New Roman" w:eastAsia="Times New Roman" w:hAnsi="Times New Roman" w:cs="Times New Roman"/>
          <w:sz w:val="24"/>
          <w:szCs w:val="24"/>
        </w:rPr>
        <w:t>,25 %</w:t>
      </w:r>
      <w:r w:rsidR="003E5D37">
        <w:rPr>
          <w:rFonts w:ascii="Times New Roman" w:eastAsia="Times New Roman" w:hAnsi="Times New Roman" w:cs="Times New Roman"/>
          <w:sz w:val="24"/>
          <w:szCs w:val="24"/>
        </w:rPr>
        <w:t>. Najveći dio ukupno utrošenih sredstava ili 52,71 % odnosi se na prenesena sredstva K</w:t>
      </w:r>
      <w:r w:rsidR="00AD0085">
        <w:rPr>
          <w:rFonts w:ascii="Times New Roman" w:eastAsia="Times New Roman" w:hAnsi="Times New Roman" w:cs="Times New Roman"/>
          <w:sz w:val="24"/>
          <w:szCs w:val="24"/>
        </w:rPr>
        <w:t xml:space="preserve">liničkom bolničkom centru </w:t>
      </w:r>
      <w:r w:rsidR="003E5D37">
        <w:rPr>
          <w:rFonts w:ascii="Times New Roman" w:eastAsia="Times New Roman" w:hAnsi="Times New Roman" w:cs="Times New Roman"/>
          <w:sz w:val="24"/>
          <w:szCs w:val="24"/>
        </w:rPr>
        <w:t>Zagreb kao</w:t>
      </w:r>
      <w:r w:rsidR="009E7A1D">
        <w:rPr>
          <w:rFonts w:ascii="Times New Roman" w:eastAsia="Times New Roman" w:hAnsi="Times New Roman" w:cs="Times New Roman"/>
          <w:sz w:val="24"/>
          <w:szCs w:val="24"/>
        </w:rPr>
        <w:t xml:space="preserve"> našem</w:t>
      </w:r>
      <w:r w:rsidR="003E5D37">
        <w:rPr>
          <w:rFonts w:ascii="Times New Roman" w:eastAsia="Times New Roman" w:hAnsi="Times New Roman" w:cs="Times New Roman"/>
          <w:sz w:val="24"/>
          <w:szCs w:val="24"/>
        </w:rPr>
        <w:t xml:space="preserve"> partneru na projektu. Ostala utrošena sredstva odnose se na plaće </w:t>
      </w:r>
      <w:r w:rsidR="0051796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E5D37">
        <w:rPr>
          <w:rFonts w:ascii="Times New Roman" w:eastAsia="Times New Roman" w:hAnsi="Times New Roman" w:cs="Times New Roman"/>
          <w:sz w:val="24"/>
          <w:szCs w:val="24"/>
        </w:rPr>
        <w:t>jelatnika</w:t>
      </w:r>
      <w:r w:rsidR="00517960">
        <w:rPr>
          <w:rFonts w:ascii="Times New Roman" w:eastAsia="Times New Roman" w:hAnsi="Times New Roman" w:cs="Times New Roman"/>
          <w:sz w:val="24"/>
          <w:szCs w:val="24"/>
        </w:rPr>
        <w:t xml:space="preserve"> angažiranih</w:t>
      </w:r>
      <w:r w:rsidR="003E5D37">
        <w:rPr>
          <w:rFonts w:ascii="Times New Roman" w:eastAsia="Times New Roman" w:hAnsi="Times New Roman" w:cs="Times New Roman"/>
          <w:sz w:val="24"/>
          <w:szCs w:val="24"/>
        </w:rPr>
        <w:t xml:space="preserve"> na projektu te honorar za voditelja projekta.</w:t>
      </w:r>
    </w:p>
    <w:p w:rsidR="00D56DD1" w:rsidRDefault="00892C84" w:rsidP="003E5D37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08">
        <w:rPr>
          <w:rFonts w:ascii="Times New Roman" w:eastAsia="Times New Roman" w:hAnsi="Times New Roman" w:cs="Times New Roman"/>
          <w:sz w:val="24"/>
          <w:szCs w:val="24"/>
        </w:rPr>
        <w:t>Ostale pomoći 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52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) planirane su u iznosu</w:t>
      </w:r>
      <w:r w:rsidR="009E7A1D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D17">
        <w:rPr>
          <w:rFonts w:ascii="Times New Roman" w:eastAsia="Times New Roman" w:hAnsi="Times New Roman" w:cs="Times New Roman"/>
          <w:sz w:val="24"/>
          <w:szCs w:val="24"/>
        </w:rPr>
        <w:t>472.686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eura dok je izvršeno </w:t>
      </w:r>
      <w:r w:rsidR="001A5D17">
        <w:rPr>
          <w:rFonts w:ascii="Times New Roman" w:eastAsia="Times New Roman" w:hAnsi="Times New Roman" w:cs="Times New Roman"/>
          <w:sz w:val="24"/>
          <w:szCs w:val="24"/>
        </w:rPr>
        <w:t>11.280.285,58</w:t>
      </w:r>
      <w:r w:rsidR="009E4049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 xml:space="preserve">. Najveći dio izvršenih sredstava ili 98,41% odnosi se na  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Odluk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Vlade Republike Hrvatske o isplati namjenske pomoći 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 xml:space="preserve">bolničkim 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zdravstveni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ustanova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>ma za podmirenje dijela dospjelih obveza prema dobavljačima lijekova, potrošnog i ugradbenog materijala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 xml:space="preserve">od 26. rujna 2025. godine 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>kojom je Kliničk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>om bolničkom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 xml:space="preserve"> centr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>u</w:t>
      </w:r>
      <w:r w:rsidR="00E87F58">
        <w:rPr>
          <w:rFonts w:ascii="Times New Roman" w:eastAsia="Times New Roman" w:hAnsi="Times New Roman" w:cs="Times New Roman"/>
          <w:sz w:val="24"/>
          <w:szCs w:val="24"/>
        </w:rPr>
        <w:t xml:space="preserve"> Sestre milosrdnice  raspoređen iznos od 11.100.524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koje smo utrošili prema navedenoj namjeni. Ostala utrošena sredstva najvećim se d</w:t>
      </w:r>
      <w:r w:rsidR="00E97B9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jelom odnose na plaće za pripravnike s pripadajućim doprinosima za obvezno zdravstveno osiguranje i naknadama za prijevoz koje sufinancira Hrvatski zavod za zapošljavanje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36C6" w:rsidRDefault="0017063A" w:rsidP="003F600C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  <w:r w:rsidRPr="003F600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61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) su planirane u iznosu od 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>188.998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eura, dok je </w:t>
      </w:r>
      <w:r w:rsidR="009E7A1D">
        <w:rPr>
          <w:rFonts w:ascii="Times New Roman" w:eastAsia="Times New Roman" w:hAnsi="Times New Roman" w:cs="Times New Roman"/>
          <w:sz w:val="24"/>
          <w:szCs w:val="24"/>
        </w:rPr>
        <w:t>stvarno primljeno donacija u iznosu od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>195.448,30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>3,41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BB7A3F">
        <w:rPr>
          <w:rFonts w:ascii="Times New Roman" w:eastAsia="Times New Roman" w:hAnsi="Times New Roman" w:cs="Times New Roman"/>
          <w:sz w:val="24"/>
          <w:szCs w:val="24"/>
        </w:rPr>
        <w:t xml:space="preserve"> više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. Najvećim dijelom se odnose na tekuće donacije usmjerene na službena putovanja te podmirivanje troškova stručnog usavršavanja zaposlenika. </w:t>
      </w:r>
    </w:p>
    <w:p w:rsidR="00B21513" w:rsidRDefault="00B21513" w:rsidP="003F600C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63A" w:rsidRPr="00547BCD" w:rsidRDefault="0017063A" w:rsidP="0017063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b/>
          <w:sz w:val="24"/>
          <w:szCs w:val="24"/>
        </w:rPr>
        <w:t>Pokazatelji rezultata</w:t>
      </w:r>
    </w:p>
    <w:p w:rsidR="0017063A" w:rsidRPr="0017063A" w:rsidRDefault="0017063A" w:rsidP="001706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7063A" w:rsidRPr="0017063A" w:rsidTr="00A44970"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Definicija</w:t>
            </w:r>
          </w:p>
        </w:tc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Jedinica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Polazna vrijednost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Izvor podataka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17063A" w:rsidP="00A473E9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473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342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Ostvarena</w:t>
            </w:r>
          </w:p>
          <w:p w:rsidR="0017063A" w:rsidRPr="0017063A" w:rsidRDefault="0017063A" w:rsidP="001706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A473E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473E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A44970">
        <w:trPr>
          <w:trHeight w:val="1440"/>
        </w:trPr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Prosječna dužina liječenja akutnih pacijenata</w:t>
            </w:r>
          </w:p>
        </w:tc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Praćenje dužine liječenja u akutnim bolnicama</w:t>
            </w:r>
          </w:p>
        </w:tc>
        <w:tc>
          <w:tcPr>
            <w:tcW w:w="1294" w:type="dxa"/>
          </w:tcPr>
          <w:p w:rsidR="00100D55" w:rsidRDefault="00100D55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Prosječan broj dana 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E61ABD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473E9">
              <w:rPr>
                <w:rFonts w:ascii="Times New Roman" w:eastAsia="Times New Roman" w:hAnsi="Times New Roman" w:cs="Times New Roman"/>
              </w:rPr>
              <w:t>5,62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E7321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    </w:t>
            </w:r>
            <w:r w:rsidR="00E7321C">
              <w:rPr>
                <w:rFonts w:ascii="Times New Roman" w:eastAsia="Times New Roman" w:hAnsi="Times New Roman" w:cs="Times New Roman"/>
              </w:rPr>
              <w:t>BIS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B32635" w:rsidP="00E7321C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A473E9">
              <w:rPr>
                <w:rFonts w:ascii="Times New Roman" w:eastAsia="Times New Roman" w:hAnsi="Times New Roman" w:cs="Times New Roman"/>
              </w:rPr>
              <w:t>5,50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A473E9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A473E9">
              <w:rPr>
                <w:rFonts w:ascii="Times New Roman" w:eastAsia="Times New Roman" w:hAnsi="Times New Roman" w:cs="Times New Roman"/>
              </w:rPr>
              <w:t>5,55</w:t>
            </w:r>
          </w:p>
        </w:tc>
      </w:tr>
    </w:tbl>
    <w:p w:rsidR="0017063A" w:rsidRPr="0017063A" w:rsidRDefault="0017063A" w:rsidP="0017063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D7148" w:rsidRDefault="00152C6F" w:rsidP="003560DB">
      <w:pPr>
        <w:keepNext/>
        <w:keepLines/>
        <w:widowControl w:val="0"/>
        <w:spacing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bookmark129"/>
      <w:r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</w:t>
      </w:r>
      <w:r w:rsidR="005936C6"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Aktivnost - </w:t>
      </w:r>
      <w:r w:rsidR="0017063A"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A895003 PROVEDBA PREVENTIVNIH PROGRAMA </w:t>
      </w:r>
      <w:r w:rsidR="005936C6"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17063A"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KLINIČKI</w:t>
      </w:r>
      <w:r w:rsidR="005936C6"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063A" w:rsidRPr="00A473E9">
        <w:rPr>
          <w:rFonts w:ascii="Times New Roman" w:eastAsia="Times New Roman" w:hAnsi="Times New Roman" w:cs="Times New Roman"/>
          <w:b/>
          <w:bCs/>
          <w:sz w:val="28"/>
          <w:szCs w:val="28"/>
        </w:rPr>
        <w:t>BOLNIČKI CENTAR SESTRE MILOSRDNICE</w:t>
      </w:r>
      <w:bookmarkEnd w:id="7"/>
    </w:p>
    <w:p w:rsidR="005936C6" w:rsidRPr="0017063A" w:rsidRDefault="005936C6" w:rsidP="005936C6">
      <w:pPr>
        <w:keepNext/>
        <w:keepLines/>
        <w:widowControl w:val="0"/>
        <w:spacing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bookmarkStart w:id="8" w:name="bookmark130"/>
      <w:r w:rsidRPr="000457F0">
        <w:rPr>
          <w:rFonts w:ascii="Times New Roman" w:eastAsia="Times New Roman" w:hAnsi="Times New Roman" w:cs="Times New Roman"/>
          <w:b/>
          <w:bCs/>
        </w:rPr>
        <w:t>Zakonske i druge pravne osnove</w:t>
      </w:r>
      <w:bookmarkEnd w:id="8"/>
    </w:p>
    <w:p w:rsidR="005936C6" w:rsidRDefault="005936C6" w:rsidP="00812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946">
        <w:rPr>
          <w:rFonts w:ascii="Times New Roman" w:eastAsia="Times New Roman" w:hAnsi="Times New Roman" w:cs="Times New Roman"/>
          <w:sz w:val="24"/>
          <w:szCs w:val="24"/>
        </w:rPr>
        <w:t>Zakon o zdravstvenoj zaštiti; Zakon o suzbijanju zlouporabe droga; Nacionalni plan razvoja zdravstva od 2021 do 2027. godine; Nacionalni akcijski plan suzbijanja zlouporabe droga u Republici Hrvatskoj; Ugovor na temelju Odluke o sufinanciranju programa: Rad Centra za ovisnosti o drogama pri KBC Sestre milosrdnice za 202</w:t>
      </w:r>
      <w:r w:rsidR="000457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1946">
        <w:rPr>
          <w:rFonts w:ascii="Times New Roman" w:eastAsia="Times New Roman" w:hAnsi="Times New Roman" w:cs="Times New Roman"/>
          <w:sz w:val="24"/>
          <w:szCs w:val="24"/>
        </w:rPr>
        <w:t xml:space="preserve">. godinu; </w:t>
      </w:r>
      <w:r w:rsidR="000457F0" w:rsidRPr="000457F0">
        <w:rPr>
          <w:rFonts w:ascii="Times New Roman" w:eastAsia="Times New Roman" w:hAnsi="Times New Roman" w:cs="Times New Roman"/>
          <w:sz w:val="24"/>
          <w:szCs w:val="24"/>
        </w:rPr>
        <w:t xml:space="preserve">Ugovor na temelju Odluke o sufinanciranju programa: </w:t>
      </w:r>
      <w:r w:rsidR="000457F0">
        <w:rPr>
          <w:rFonts w:ascii="Times New Roman" w:eastAsia="Times New Roman" w:hAnsi="Times New Roman" w:cs="Times New Roman"/>
          <w:sz w:val="24"/>
          <w:szCs w:val="24"/>
        </w:rPr>
        <w:t xml:space="preserve">Nacionalni program prevencije i ranog otkrivanja </w:t>
      </w:r>
      <w:proofErr w:type="spellStart"/>
      <w:r w:rsidR="000457F0">
        <w:rPr>
          <w:rFonts w:ascii="Times New Roman" w:eastAsia="Times New Roman" w:hAnsi="Times New Roman" w:cs="Times New Roman"/>
          <w:sz w:val="24"/>
          <w:szCs w:val="24"/>
        </w:rPr>
        <w:t>melanoma</w:t>
      </w:r>
      <w:proofErr w:type="spellEnd"/>
      <w:r w:rsidR="000457F0">
        <w:rPr>
          <w:rFonts w:ascii="Times New Roman" w:eastAsia="Times New Roman" w:hAnsi="Times New Roman" w:cs="Times New Roman"/>
          <w:sz w:val="24"/>
          <w:szCs w:val="24"/>
        </w:rPr>
        <w:t xml:space="preserve"> za 2025. godinu Kliničkog bolničkog centra „Sestre milosrdnice“; </w:t>
      </w:r>
      <w:r w:rsidRPr="00B51946">
        <w:rPr>
          <w:rFonts w:ascii="Times New Roman" w:eastAsia="Times New Roman" w:hAnsi="Times New Roman" w:cs="Times New Roman"/>
          <w:sz w:val="24"/>
          <w:szCs w:val="24"/>
        </w:rPr>
        <w:t>Nacionalna strategija prevencije i ranog otkrivanja raka</w:t>
      </w:r>
    </w:p>
    <w:p w:rsidR="001D7148" w:rsidRPr="004242ED" w:rsidRDefault="0017063A" w:rsidP="0081215C">
      <w:pPr>
        <w:widowControl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7148"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88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60"/>
        <w:gridCol w:w="1418"/>
        <w:gridCol w:w="1701"/>
        <w:gridCol w:w="992"/>
        <w:gridCol w:w="992"/>
      </w:tblGrid>
      <w:tr w:rsidR="005E58E4" w:rsidRPr="0017063A" w:rsidTr="00A44970">
        <w:trPr>
          <w:trHeight w:hRule="exact" w:val="143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A67AEE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A67AEE" w:rsidRDefault="005E58E4" w:rsidP="00143D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143D23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A67AEE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Tekući plan 202</w:t>
            </w:r>
            <w:r w:rsidR="007A663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A67AEE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7A663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A67AEE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A67AEE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</w:t>
            </w:r>
            <w:r w:rsidR="007A663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A67AEE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/Tekući plan</w:t>
            </w:r>
          </w:p>
          <w:p w:rsidR="005E58E4" w:rsidRPr="00A67AEE" w:rsidRDefault="005E58E4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7A663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A67AEE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A67AEE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5E58E4" w:rsidRPr="00A67AEE" w:rsidRDefault="005E58E4" w:rsidP="00A67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7AE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A67AE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A44970">
        <w:trPr>
          <w:trHeight w:hRule="exact" w:val="230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A895003-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PROVEDBA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PREVENTIVNIH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PROGRAMA-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KLINIČKI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BOLNIČKI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CENTAR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SESTRE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MILOSRDNICE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43D23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153.312,18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7A663E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109.133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7A663E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108.243,13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7A663E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A67AEE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70,60</w:t>
            </w:r>
          </w:p>
        </w:tc>
      </w:tr>
    </w:tbl>
    <w:p w:rsidR="0017063A" w:rsidRPr="0017063A" w:rsidRDefault="0017063A" w:rsidP="0017063A">
      <w:pPr>
        <w:widowControl w:val="0"/>
        <w:spacing w:after="366" w:line="14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  <w:r w:rsidRPr="0017063A"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  <w:t>/</w:t>
      </w:r>
    </w:p>
    <w:p w:rsidR="0017063A" w:rsidRPr="0017063A" w:rsidRDefault="0017063A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063A">
        <w:rPr>
          <w:rFonts w:ascii="Times New Roman" w:eastAsia="Times New Roman" w:hAnsi="Times New Roman" w:cs="Times New Roman"/>
          <w:b/>
          <w:bCs/>
        </w:rPr>
        <w:t>Opis aktivnosti</w:t>
      </w:r>
    </w:p>
    <w:p w:rsidR="00F029BD" w:rsidRPr="00EA74F1" w:rsidRDefault="00F029BD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U sklopu navedene aktivnosti provodi se dugi niz godina Nacionalni akcijski plan suzbijanja zloupotrebe droga u Republici Hrvatskoj, a od srpnja 2023. godine i Nacionalni preventivni program za rano otkrivanje </w:t>
      </w:r>
      <w:proofErr w:type="spellStart"/>
      <w:r w:rsidRPr="00EA74F1">
        <w:rPr>
          <w:rFonts w:ascii="Times New Roman" w:eastAsia="Times New Roman" w:hAnsi="Times New Roman" w:cs="Times New Roman"/>
          <w:sz w:val="24"/>
          <w:szCs w:val="24"/>
        </w:rPr>
        <w:t>melanoma</w:t>
      </w:r>
      <w:proofErr w:type="spellEnd"/>
      <w:r w:rsidRPr="00EA74F1">
        <w:rPr>
          <w:rFonts w:ascii="Times New Roman" w:eastAsia="Times New Roman" w:hAnsi="Times New Roman" w:cs="Times New Roman"/>
          <w:sz w:val="24"/>
          <w:szCs w:val="24"/>
        </w:rPr>
        <w:t>, a oba s ciljem zaštite zdravlja i javnozdravstvenog interesa građana Republike Hrvatske.</w:t>
      </w:r>
    </w:p>
    <w:p w:rsidR="00005875" w:rsidRDefault="005312C0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F210A8">
        <w:rPr>
          <w:rFonts w:ascii="Times New Roman" w:eastAsia="Times New Roman" w:hAnsi="Times New Roman" w:cs="Times New Roman"/>
          <w:sz w:val="24"/>
          <w:szCs w:val="24"/>
        </w:rPr>
        <w:t>irana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05875">
        <w:rPr>
          <w:rFonts w:ascii="Times New Roman" w:eastAsia="Times New Roman" w:hAnsi="Times New Roman" w:cs="Times New Roman"/>
          <w:sz w:val="24"/>
          <w:szCs w:val="24"/>
        </w:rPr>
        <w:t xml:space="preserve">redstva za provedbu preventivnih programa osiguravaju se na </w:t>
      </w:r>
      <w:r w:rsidR="00005875" w:rsidRPr="00005875">
        <w:rPr>
          <w:rFonts w:ascii="Times New Roman" w:eastAsia="Times New Roman" w:hAnsi="Times New Roman" w:cs="Times New Roman"/>
          <w:b/>
          <w:sz w:val="24"/>
          <w:szCs w:val="24"/>
        </w:rPr>
        <w:t>izvoru financiranja 11</w:t>
      </w:r>
      <w:r w:rsidR="009E7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te tekući plan za 2</w:t>
      </w:r>
      <w:r w:rsidR="00F210A8">
        <w:rPr>
          <w:rFonts w:ascii="Times New Roman" w:eastAsia="Times New Roman" w:hAnsi="Times New Roman" w:cs="Times New Roman"/>
          <w:sz w:val="24"/>
          <w:szCs w:val="24"/>
        </w:rPr>
        <w:t>025. godinu iznosi 109.133 eura i ostvaren je s 99,18 %.</w:t>
      </w:r>
    </w:p>
    <w:p w:rsidR="00CD13A3" w:rsidRPr="00045924" w:rsidRDefault="00CD13A3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24">
        <w:rPr>
          <w:rFonts w:ascii="Times New Roman" w:eastAsia="Times New Roman" w:hAnsi="Times New Roman" w:cs="Times New Roman"/>
          <w:sz w:val="24"/>
          <w:szCs w:val="24"/>
        </w:rPr>
        <w:t xml:space="preserve">Najveći dio utrošenih sredstava </w:t>
      </w:r>
      <w:r w:rsidR="005312C0">
        <w:rPr>
          <w:rFonts w:ascii="Times New Roman" w:eastAsia="Times New Roman" w:hAnsi="Times New Roman" w:cs="Times New Roman"/>
          <w:sz w:val="24"/>
          <w:szCs w:val="24"/>
        </w:rPr>
        <w:t>namijenjenih za rad Centra za ovisnost o drogama ili</w:t>
      </w:r>
      <w:r w:rsidR="008121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312C0">
        <w:rPr>
          <w:rFonts w:ascii="Times New Roman" w:eastAsia="Times New Roman" w:hAnsi="Times New Roman" w:cs="Times New Roman"/>
          <w:sz w:val="24"/>
          <w:szCs w:val="24"/>
        </w:rPr>
        <w:t xml:space="preserve"> 77</w:t>
      </w:r>
      <w:r w:rsidRPr="000459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C0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97F37">
        <w:rPr>
          <w:rFonts w:ascii="Times New Roman" w:eastAsia="Times New Roman" w:hAnsi="Times New Roman" w:cs="Times New Roman"/>
          <w:sz w:val="24"/>
          <w:szCs w:val="24"/>
        </w:rPr>
        <w:t xml:space="preserve"> % utrošenog</w:t>
      </w:r>
      <w:r w:rsidRPr="00045924">
        <w:rPr>
          <w:rFonts w:ascii="Times New Roman" w:eastAsia="Times New Roman" w:hAnsi="Times New Roman" w:cs="Times New Roman"/>
          <w:sz w:val="24"/>
          <w:szCs w:val="24"/>
        </w:rPr>
        <w:t xml:space="preserve"> iznosa odnosi se na nabavku lijekova i test traka na droge. Ostala utrošena sredstva odnose se na isplatu honorara voditelju programa, uredski materijal</w:t>
      </w:r>
      <w:r w:rsidR="00EF0A66">
        <w:rPr>
          <w:rFonts w:ascii="Times New Roman" w:eastAsia="Times New Roman" w:hAnsi="Times New Roman" w:cs="Times New Roman"/>
          <w:sz w:val="24"/>
          <w:szCs w:val="24"/>
        </w:rPr>
        <w:t xml:space="preserve"> i sitni inventar te</w:t>
      </w:r>
      <w:r w:rsidRPr="00045924">
        <w:rPr>
          <w:rFonts w:ascii="Times New Roman" w:eastAsia="Times New Roman" w:hAnsi="Times New Roman" w:cs="Times New Roman"/>
          <w:sz w:val="24"/>
          <w:szCs w:val="24"/>
        </w:rPr>
        <w:t xml:space="preserve"> službena </w:t>
      </w:r>
      <w:r w:rsidR="008C2D79">
        <w:rPr>
          <w:rFonts w:ascii="Times New Roman" w:eastAsia="Times New Roman" w:hAnsi="Times New Roman" w:cs="Times New Roman"/>
          <w:sz w:val="24"/>
          <w:szCs w:val="24"/>
        </w:rPr>
        <w:t>putovanja</w:t>
      </w:r>
      <w:r w:rsidR="00A95145" w:rsidRPr="00A951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A3" w:rsidRPr="00EA74F1" w:rsidRDefault="00CD13A3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4F1">
        <w:rPr>
          <w:rFonts w:ascii="Times New Roman" w:eastAsia="Times New Roman" w:hAnsi="Times New Roman" w:cs="Times New Roman"/>
          <w:sz w:val="24"/>
          <w:szCs w:val="24"/>
        </w:rPr>
        <w:t>Aktivnosti koje su se provodile odnose se na promociju, liječenje, evaluaciju i prevenciju suzbijanja zloupotrebe droga. Stručni tim Centra za ovisnosti o drogama nastavio je s intenzivnim provođenjem planiranih stručnih aktivnosti na Klinici za psihijatriju KBC Sestre milosrdnice i na terenu. Neposredno provođenje medicinskih postupaka s ovisnicima, pretežno teških heroinskih ovisnika koji su najčešće zatražili pomoć direktno s ulice, omogućeno je kroz 24 sata svih 7 dana u tjednu, te je ovaj Centar jedino mjesto u gradu Zagrebu na kojem se sukladno načelima najbolje medicinske struke neposredno intervenira kod ovisnika koji zapadnu u krizne situacije. Time se značajno smanjuje broj štetnih i incidentnih događaja u gradu koje običavaju činiti ovisnici ukoliko im se ne osigura adekvatna medicinska intervencija. Osigurano je redovito testiranje na droge i virusne infekcije ovisnika koji su se liječili u programima Centra, a posebna pozornost je posvećena praćenju stanja ovisnika kojima je izrečena mjera obaveznog liječenja.</w:t>
      </w:r>
    </w:p>
    <w:p w:rsidR="00CF7937" w:rsidRDefault="00EF0A66" w:rsidP="00EF0A66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 provođenje Nacionalnog preventivnog programa za rano otkrivanje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melanoma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najveći dio ili 40,09 % utrošenih sredstava odnosi se na službena putovanja, </w:t>
      </w:r>
      <w:r w:rsidR="00E52D5A" w:rsidRPr="00EA74F1">
        <w:rPr>
          <w:rFonts w:ascii="Times New Roman" w:eastAsia="Times New Roman" w:hAnsi="Times New Roman" w:cs="Times New Roman"/>
          <w:sz w:val="24"/>
          <w:szCs w:val="24"/>
        </w:rPr>
        <w:t xml:space="preserve">a ostala utrošena sredstva odnose se na honorare edukatora i naknade za privremeni rad administratora programa,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nabavku šest </w:t>
      </w:r>
      <w:r w:rsidR="00635D85">
        <w:rPr>
          <w:rFonts w:ascii="Times New Roman" w:eastAsia="Times New Roman" w:hAnsi="Times New Roman" w:cs="Times New Roman"/>
          <w:sz w:val="24"/>
          <w:szCs w:val="24"/>
        </w:rPr>
        <w:t xml:space="preserve">ručnih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dermatoskopa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3D67">
        <w:rPr>
          <w:rFonts w:ascii="Times New Roman" w:eastAsia="Times New Roman" w:hAnsi="Times New Roman" w:cs="Times New Roman"/>
          <w:sz w:val="24"/>
          <w:szCs w:val="24"/>
        </w:rPr>
        <w:t>potrošni materijal za potrebe izvođenja operativnih zahvata u okviru javnozdravstvenih akcija na terenu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troškove edukativnog materijala</w:t>
      </w:r>
      <w:r w:rsidR="00E52D5A" w:rsidRPr="00EA7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5D85" w:rsidRDefault="00CF7937" w:rsidP="00314154">
      <w:pPr>
        <w:spacing w:before="40" w:after="0"/>
        <w:ind w:right="-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F1">
        <w:rPr>
          <w:rFonts w:ascii="Times New Roman" w:hAnsi="Times New Roman" w:cs="Times New Roman"/>
          <w:sz w:val="24"/>
          <w:szCs w:val="24"/>
        </w:rPr>
        <w:t>T</w:t>
      </w:r>
      <w:r w:rsidR="00005875">
        <w:rPr>
          <w:rFonts w:ascii="Times New Roman" w:hAnsi="Times New Roman" w:cs="Times New Roman"/>
          <w:sz w:val="24"/>
          <w:szCs w:val="24"/>
        </w:rPr>
        <w:t>ije</w:t>
      </w:r>
      <w:r w:rsidRPr="00EA74F1">
        <w:rPr>
          <w:rFonts w:ascii="Times New Roman" w:hAnsi="Times New Roman" w:cs="Times New Roman"/>
          <w:sz w:val="24"/>
          <w:szCs w:val="24"/>
        </w:rPr>
        <w:t>kom 202</w:t>
      </w:r>
      <w:r w:rsidR="00EF0A66">
        <w:rPr>
          <w:rFonts w:ascii="Times New Roman" w:hAnsi="Times New Roman" w:cs="Times New Roman"/>
          <w:sz w:val="24"/>
          <w:szCs w:val="24"/>
        </w:rPr>
        <w:t>5</w:t>
      </w:r>
      <w:r w:rsidRPr="00EA74F1">
        <w:rPr>
          <w:rFonts w:ascii="Times New Roman" w:hAnsi="Times New Roman" w:cs="Times New Roman"/>
          <w:sz w:val="24"/>
          <w:szCs w:val="24"/>
        </w:rPr>
        <w:t xml:space="preserve">. godine Nacionalni preventivni program za rano otkrivanje </w:t>
      </w:r>
      <w:proofErr w:type="spellStart"/>
      <w:r w:rsidRPr="00EA74F1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EA74F1">
        <w:rPr>
          <w:rFonts w:ascii="Times New Roman" w:hAnsi="Times New Roman" w:cs="Times New Roman"/>
          <w:sz w:val="24"/>
          <w:szCs w:val="24"/>
        </w:rPr>
        <w:t xml:space="preserve"> provodio se ciljano pregledavajući visoko-rizičnu populaciju koja uključuje odrasle osobe od 50 do 75 godina te osobe svih dobi pod rizikom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74F1">
        <w:rPr>
          <w:rFonts w:ascii="Times New Roman" w:hAnsi="Times New Roman" w:cs="Times New Roman"/>
          <w:sz w:val="24"/>
          <w:szCs w:val="24"/>
        </w:rPr>
        <w:t xml:space="preserve"> Kvalificirano osoblje provelo je dvije javno-</w:t>
      </w:r>
      <w:r w:rsidRPr="009B0CDE">
        <w:rPr>
          <w:rFonts w:ascii="Times New Roman" w:hAnsi="Times New Roman" w:cs="Times New Roman"/>
          <w:sz w:val="24"/>
          <w:szCs w:val="24"/>
        </w:rPr>
        <w:t>zdravstvene akcije preventivnih pregleda i to u lipnju 202</w:t>
      </w:r>
      <w:r w:rsidR="00635D85">
        <w:rPr>
          <w:rFonts w:ascii="Times New Roman" w:hAnsi="Times New Roman" w:cs="Times New Roman"/>
          <w:sz w:val="24"/>
          <w:szCs w:val="24"/>
        </w:rPr>
        <w:t>5. godine u Vinkovcima, Iloku, Županji, N</w:t>
      </w:r>
      <w:r w:rsidR="0081215C">
        <w:rPr>
          <w:rFonts w:ascii="Times New Roman" w:hAnsi="Times New Roman" w:cs="Times New Roman"/>
          <w:sz w:val="24"/>
          <w:szCs w:val="24"/>
        </w:rPr>
        <w:t>i</w:t>
      </w:r>
      <w:r w:rsidR="00635D85">
        <w:rPr>
          <w:rFonts w:ascii="Times New Roman" w:hAnsi="Times New Roman" w:cs="Times New Roman"/>
          <w:sz w:val="24"/>
          <w:szCs w:val="24"/>
        </w:rPr>
        <w:t>jemcima i Otoku</w:t>
      </w:r>
      <w:r w:rsidR="0081215C">
        <w:rPr>
          <w:rFonts w:ascii="Times New Roman" w:hAnsi="Times New Roman" w:cs="Times New Roman"/>
          <w:sz w:val="24"/>
          <w:szCs w:val="24"/>
        </w:rPr>
        <w:t>, te</w:t>
      </w:r>
      <w:r w:rsidRPr="009B0CDE">
        <w:rPr>
          <w:rFonts w:ascii="Times New Roman" w:hAnsi="Times New Roman" w:cs="Times New Roman"/>
          <w:sz w:val="24"/>
          <w:szCs w:val="24"/>
        </w:rPr>
        <w:t xml:space="preserve"> u listopadu 202</w:t>
      </w:r>
      <w:r w:rsidR="00635D85">
        <w:rPr>
          <w:rFonts w:ascii="Times New Roman" w:hAnsi="Times New Roman" w:cs="Times New Roman"/>
          <w:sz w:val="24"/>
          <w:szCs w:val="24"/>
        </w:rPr>
        <w:t>5</w:t>
      </w:r>
      <w:r w:rsidRPr="009B0CDE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635D85">
        <w:rPr>
          <w:rFonts w:ascii="Times New Roman" w:hAnsi="Times New Roman" w:cs="Times New Roman"/>
          <w:sz w:val="24"/>
          <w:szCs w:val="24"/>
        </w:rPr>
        <w:t>općini Cista Provo</w:t>
      </w:r>
      <w:r w:rsidRPr="009B0CDE">
        <w:rPr>
          <w:rFonts w:ascii="Times New Roman" w:hAnsi="Times New Roman" w:cs="Times New Roman"/>
          <w:sz w:val="24"/>
          <w:szCs w:val="24"/>
        </w:rPr>
        <w:t xml:space="preserve"> na kojima su uz obavljanje preventivnih pregleda u lokalnim domovima zdravlja izvršene operacije tumora koji su otkriveni tijekom akcija, te održan</w:t>
      </w:r>
      <w:r w:rsidR="00635D85">
        <w:rPr>
          <w:rFonts w:ascii="Times New Roman" w:hAnsi="Times New Roman" w:cs="Times New Roman"/>
          <w:sz w:val="24"/>
          <w:szCs w:val="24"/>
        </w:rPr>
        <w:t>i</w:t>
      </w:r>
      <w:r w:rsidRPr="009B0CDE">
        <w:rPr>
          <w:rFonts w:ascii="Times New Roman" w:hAnsi="Times New Roman" w:cs="Times New Roman"/>
          <w:sz w:val="24"/>
          <w:szCs w:val="24"/>
        </w:rPr>
        <w:t xml:space="preserve"> i</w:t>
      </w:r>
      <w:r w:rsidR="00635D85">
        <w:rPr>
          <w:rFonts w:ascii="Times New Roman" w:hAnsi="Times New Roman" w:cs="Times New Roman"/>
          <w:sz w:val="24"/>
          <w:szCs w:val="24"/>
        </w:rPr>
        <w:t xml:space="preserve"> tečajevi </w:t>
      </w:r>
      <w:proofErr w:type="spellStart"/>
      <w:r w:rsidR="00635D85">
        <w:rPr>
          <w:rFonts w:ascii="Times New Roman" w:hAnsi="Times New Roman" w:cs="Times New Roman"/>
          <w:sz w:val="24"/>
          <w:szCs w:val="24"/>
        </w:rPr>
        <w:t>dermatoskopije</w:t>
      </w:r>
      <w:proofErr w:type="spellEnd"/>
      <w:r w:rsidR="00635D85">
        <w:rPr>
          <w:rFonts w:ascii="Times New Roman" w:hAnsi="Times New Roman" w:cs="Times New Roman"/>
          <w:sz w:val="24"/>
          <w:szCs w:val="24"/>
        </w:rPr>
        <w:t xml:space="preserve"> s edukativnim radionicama. Također, tiskan je i edukativni materijal za građane, promotivni leci i </w:t>
      </w:r>
      <w:proofErr w:type="spellStart"/>
      <w:r w:rsidR="00635D85">
        <w:rPr>
          <w:rFonts w:ascii="Times New Roman" w:hAnsi="Times New Roman" w:cs="Times New Roman"/>
          <w:sz w:val="24"/>
          <w:szCs w:val="24"/>
        </w:rPr>
        <w:t>posteri</w:t>
      </w:r>
      <w:proofErr w:type="spellEnd"/>
      <w:r w:rsidR="00635D85">
        <w:rPr>
          <w:rFonts w:ascii="Times New Roman" w:hAnsi="Times New Roman" w:cs="Times New Roman"/>
          <w:sz w:val="24"/>
          <w:szCs w:val="24"/>
        </w:rPr>
        <w:t xml:space="preserve"> te su izrađene majice s logotipom Nacionalnog programa kao dio „radne odjeće“ u terenskom radu.</w:t>
      </w:r>
    </w:p>
    <w:p w:rsidR="00B21513" w:rsidRPr="00005875" w:rsidRDefault="00635D85" w:rsidP="00635D85">
      <w:pPr>
        <w:spacing w:before="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0CDE" w:rsidRPr="009B0CDE">
        <w:rPr>
          <w:rFonts w:ascii="Times New Roman" w:hAnsi="Times New Roman" w:cs="Times New Roman"/>
          <w:sz w:val="24"/>
          <w:szCs w:val="24"/>
        </w:rPr>
        <w:t>d medicinske opreme, nabavljen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9B0CDE" w:rsidRPr="009B0CD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šest </w:t>
      </w:r>
      <w:r w:rsidR="009B0CDE" w:rsidRPr="009B0CDE">
        <w:rPr>
          <w:rFonts w:ascii="Times New Roman" w:hAnsi="Times New Roman" w:cs="Times New Roman"/>
          <w:sz w:val="24"/>
          <w:szCs w:val="24"/>
        </w:rPr>
        <w:t>uređaj</w:t>
      </w:r>
      <w:r w:rsidR="0081215C">
        <w:rPr>
          <w:rFonts w:ascii="Times New Roman" w:hAnsi="Times New Roman" w:cs="Times New Roman"/>
          <w:sz w:val="24"/>
          <w:szCs w:val="24"/>
        </w:rPr>
        <w:t xml:space="preserve">a za </w:t>
      </w:r>
      <w:proofErr w:type="spellStart"/>
      <w:r w:rsidR="0081215C">
        <w:rPr>
          <w:rFonts w:ascii="Times New Roman" w:hAnsi="Times New Roman" w:cs="Times New Roman"/>
          <w:sz w:val="24"/>
          <w:szCs w:val="24"/>
        </w:rPr>
        <w:t>dermatoskopiju</w:t>
      </w:r>
      <w:proofErr w:type="spellEnd"/>
      <w:r w:rsidR="0081215C">
        <w:rPr>
          <w:rFonts w:ascii="Times New Roman" w:hAnsi="Times New Roman" w:cs="Times New Roman"/>
          <w:sz w:val="24"/>
          <w:szCs w:val="24"/>
        </w:rPr>
        <w:t>.</w:t>
      </w:r>
    </w:p>
    <w:p w:rsidR="0017063A" w:rsidRPr="0017063A" w:rsidRDefault="0017063A" w:rsidP="00005875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C429C0">
        <w:rPr>
          <w:rFonts w:ascii="Times New Roman" w:eastAsia="Times New Roman" w:hAnsi="Times New Roman" w:cs="Times New Roman"/>
          <w:b/>
          <w:bCs/>
        </w:rPr>
        <w:t>Pokazatelji rezultata</w:t>
      </w: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996"/>
        <w:gridCol w:w="993"/>
        <w:gridCol w:w="1417"/>
        <w:gridCol w:w="992"/>
        <w:gridCol w:w="1090"/>
      </w:tblGrid>
      <w:tr w:rsidR="0017063A" w:rsidRPr="0017063A" w:rsidTr="00A44970">
        <w:trPr>
          <w:trHeight w:hRule="exact" w:val="92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Polazna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Izvor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17063A" w:rsidP="00E61ABD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61AB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D22C39" w:rsidRDefault="0017063A" w:rsidP="0017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D22C39">
              <w:rPr>
                <w:rFonts w:ascii="Times New Roman" w:eastAsia="Times New Roman" w:hAnsi="Times New Roman" w:cs="Times New Roman"/>
                <w:sz w:val="20"/>
                <w:szCs w:val="20"/>
              </w:rPr>
              <w:t>Ostvarena</w:t>
            </w:r>
          </w:p>
          <w:p w:rsidR="0017063A" w:rsidRPr="00D22C39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C39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E61A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C3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61ABD" w:rsidRPr="00D22C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22C3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A44970">
        <w:trPr>
          <w:trHeight w:hRule="exact" w:val="156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Udio nabavljenih lijekova i test traka u planiranom iznosu nabav</w:t>
            </w:r>
            <w:r w:rsidR="00AA3D56">
              <w:rPr>
                <w:rFonts w:ascii="Times New Roman" w:eastAsia="Times New Roman" w:hAnsi="Times New Roman" w:cs="Times New Roman"/>
              </w:rPr>
              <w:t>e lijekova i test traka za liječenje ovisnika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Pružanje stručne medicinske pomoći registriranim ovisnicima o drogi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81215C" w:rsidP="00E7321C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Materijalno knjigovodstvo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D22C39" w:rsidP="0017063A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 w:rsidR="00314154">
              <w:rPr>
                <w:rFonts w:ascii="Times New Roman" w:eastAsia="Times New Roman" w:hAnsi="Times New Roman" w:cs="Times New Roman"/>
              </w:rPr>
              <w:t>,00</w:t>
            </w:r>
          </w:p>
        </w:tc>
      </w:tr>
    </w:tbl>
    <w:p w:rsidR="007A663E" w:rsidRDefault="007A663E" w:rsidP="0017063A">
      <w:pPr>
        <w:widowControl w:val="0"/>
        <w:tabs>
          <w:tab w:val="left" w:pos="43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1513" w:rsidRDefault="00B21513" w:rsidP="0017063A">
      <w:pPr>
        <w:widowControl w:val="0"/>
        <w:tabs>
          <w:tab w:val="left" w:pos="4350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</w:p>
    <w:p w:rsidR="00853E3D" w:rsidRDefault="00853E3D" w:rsidP="0017063A">
      <w:pPr>
        <w:widowControl w:val="0"/>
        <w:tabs>
          <w:tab w:val="left" w:pos="4350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</w:p>
    <w:p w:rsidR="007A663E" w:rsidRDefault="007A663E" w:rsidP="007A663E">
      <w:pPr>
        <w:keepNext/>
        <w:keepLines/>
        <w:widowControl w:val="0"/>
        <w:spacing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 Aktivnost - T</w:t>
      </w:r>
      <w:r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>89500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PODIZANJE ISTRAŽIVAČKOG INOVACIJSKOG KAPACITETA NPOO C3.2</w:t>
      </w:r>
    </w:p>
    <w:p w:rsidR="004E48DF" w:rsidRDefault="004E48DF" w:rsidP="004E48DF">
      <w:pPr>
        <w:spacing w:after="0" w:line="240" w:lineRule="auto"/>
        <w:ind w:right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0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4E48DF" w:rsidRPr="00C847F9" w:rsidRDefault="004E48DF" w:rsidP="004E48DF">
      <w:pPr>
        <w:spacing w:before="120" w:after="240" w:line="240" w:lineRule="auto"/>
        <w:ind w:right="65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 plan oporavka i otpornosti 2021.-2026. godine; Ugovor o dodjeli bespovratnih sredstava za projekte koji se financiraju iz Mehanizma za oporavak i otpornost 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NPPO.C3.2.R3-I1.04.0287</w:t>
      </w:r>
    </w:p>
    <w:p w:rsidR="007A663E" w:rsidRPr="004E48DF" w:rsidRDefault="004E48DF" w:rsidP="004E48DF">
      <w:pPr>
        <w:widowControl w:val="0"/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92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281"/>
        <w:gridCol w:w="1559"/>
        <w:gridCol w:w="1560"/>
        <w:gridCol w:w="1134"/>
        <w:gridCol w:w="1056"/>
      </w:tblGrid>
      <w:tr w:rsidR="007A663E" w:rsidRPr="0017063A" w:rsidTr="004E48DF">
        <w:trPr>
          <w:trHeight w:hRule="exact" w:val="124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63E" w:rsidRPr="00A67AEE" w:rsidRDefault="007A663E" w:rsidP="007A66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2004.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plan 2025.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2025.</w:t>
            </w:r>
          </w:p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/Tekući plan</w:t>
            </w:r>
          </w:p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7A663E" w:rsidRPr="00A67AEE" w:rsidRDefault="007A663E" w:rsidP="000C6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7A663E" w:rsidRPr="00A67AEE" w:rsidRDefault="007A663E" w:rsidP="00A67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A67AE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A67AEE"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67AE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663E" w:rsidRPr="0017063A" w:rsidTr="004E48DF">
        <w:trPr>
          <w:trHeight w:hRule="exact" w:val="128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63E" w:rsidRPr="0017063A" w:rsidRDefault="007A663E" w:rsidP="000C6D5F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89500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A663E" w:rsidRPr="0017063A" w:rsidRDefault="007A663E" w:rsidP="000C6D5F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PODIZANJE ISTRAŽIVAČKOG INOVACIJSKOG KAPACITETA NPOO C3.2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63E" w:rsidRPr="0017063A" w:rsidRDefault="007A663E" w:rsidP="000C6D5F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63E" w:rsidRPr="0017063A" w:rsidRDefault="007A663E" w:rsidP="000C6D5F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1.170.127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63E" w:rsidRPr="0017063A" w:rsidRDefault="007A663E" w:rsidP="000C6D5F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271.928,07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663E" w:rsidRPr="0017063A" w:rsidRDefault="007A663E" w:rsidP="000C6D5F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63E" w:rsidRPr="0017063A" w:rsidRDefault="007A663E" w:rsidP="000C6D5F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215C" w:rsidRDefault="0081215C" w:rsidP="004E48DF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E48DF" w:rsidRDefault="004E48DF" w:rsidP="004E48DF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063A">
        <w:rPr>
          <w:rFonts w:ascii="Times New Roman" w:eastAsia="Times New Roman" w:hAnsi="Times New Roman" w:cs="Times New Roman"/>
          <w:b/>
          <w:bCs/>
        </w:rPr>
        <w:lastRenderedPageBreak/>
        <w:t>Opis aktivnosti</w:t>
      </w:r>
    </w:p>
    <w:p w:rsidR="00BB0856" w:rsidRPr="00FD485C" w:rsidRDefault="00BB0856" w:rsidP="00BB085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projekta</w:t>
      </w: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istražiti učinkovitost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Ramanove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spektroskopije i plinskog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kromatografa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detekciji i identifikaciji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biomarkera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glaukoma,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pseudoeksfolijativnog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sindroma (PEX sindrom), senilne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makularne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degeneracije i dijabetičke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retinopatije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svrhu ostvarivanja inovacijskih dijagnostičkih mogućnosti za rano prepoznavanje i praćenje navedenih očnih bolesti. </w:t>
      </w:r>
    </w:p>
    <w:p w:rsidR="00BB0856" w:rsidRDefault="00BB0856" w:rsidP="00BB085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Otkrivanje i implementacija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biomarkera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rezultirati uspostavljanjem nove laboratorijske dijagnostičke metode (u budućoj fazi razvoja) za ranu detekciju istraživanih bolesti i pojedinih studija bolesti, koja bi bila financijski pristupačna, široke dostupnosti, minimalno invazivna i vremenski efikasna.</w:t>
      </w:r>
    </w:p>
    <w:p w:rsidR="00BB0856" w:rsidRDefault="00BB0856" w:rsidP="00BB085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 tijelo za navedeni projekt je Ministarstvo znanosti, obrazovanja i mladih, provedbeno tijelo je Hrvatska zaklada za znanost, a KBC Sestre milosrdnice je korisnik, dok je partner u projektu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Sample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Control</w:t>
      </w:r>
      <w:proofErr w:type="spellEnd"/>
      <w:r w:rsidRPr="00FD48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16095" w:rsidRDefault="00E16095" w:rsidP="00E16095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16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2025. godinu na </w:t>
      </w:r>
      <w:r w:rsidRPr="00D47B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izvoru financiranja 581 Mehanizam za oporavak i otpornost</w:t>
      </w:r>
      <w:r w:rsidRPr="00E160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planiran je iznos od 1.170.127 eura od čega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utrošeno 271.928,07 eura ili 23,24 %. Najveći dio utrošenih sredstava ili 86,17 % odnosi se na sredstva koja smo doznačili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Control</w:t>
      </w:r>
      <w:proofErr w:type="spellEnd"/>
      <w:r w:rsidR="00923B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23B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d.o.o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partneru u projektu</w:t>
      </w:r>
      <w:r w:rsidR="00923B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Ostala utrošena sredstva odnose se na nabavku dva laboratorijsk</w:t>
      </w:r>
      <w:r w:rsidR="00B15F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23B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zamrzivača i ce</w:t>
      </w:r>
      <w:r w:rsidR="008121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923B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trifug</w:t>
      </w:r>
      <w:bookmarkStart w:id="9" w:name="_GoBack"/>
      <w:bookmarkEnd w:id="9"/>
      <w:r w:rsidR="00923B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te na potrošni medicinski materijal za potrebe projekta.</w:t>
      </w:r>
    </w:p>
    <w:p w:rsidR="00923B16" w:rsidRDefault="00923B16" w:rsidP="00923B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23B16" w:rsidRDefault="00923B16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6E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rezultata</w:t>
      </w:r>
    </w:p>
    <w:p w:rsidR="00F00BE3" w:rsidRDefault="00F00BE3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996"/>
        <w:gridCol w:w="993"/>
        <w:gridCol w:w="1417"/>
        <w:gridCol w:w="992"/>
        <w:gridCol w:w="1090"/>
      </w:tblGrid>
      <w:tr w:rsidR="00F00BE3" w:rsidRPr="0017063A" w:rsidTr="00F00BE3">
        <w:trPr>
          <w:trHeight w:hRule="exact" w:val="92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Polazna</w:t>
            </w:r>
          </w:p>
          <w:p w:rsidR="00F00BE3" w:rsidRPr="0017063A" w:rsidRDefault="00F00BE3" w:rsidP="00F00BE3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Izvor</w:t>
            </w:r>
          </w:p>
          <w:p w:rsidR="00F00BE3" w:rsidRPr="0017063A" w:rsidRDefault="00F00BE3" w:rsidP="00F00B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F00BE3" w:rsidRPr="0017063A" w:rsidRDefault="00F00BE3" w:rsidP="00F00BE3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F00BE3" w:rsidRPr="0017063A" w:rsidRDefault="00F00BE3" w:rsidP="003A21BF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3A21B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BE3" w:rsidRPr="0017063A" w:rsidRDefault="00F00BE3" w:rsidP="00F00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Ostvarena</w:t>
            </w:r>
          </w:p>
          <w:p w:rsidR="00F00BE3" w:rsidRPr="0017063A" w:rsidRDefault="00F00BE3" w:rsidP="00F00B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F00BE3" w:rsidRPr="0017063A" w:rsidRDefault="00F00BE3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3A21B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21BF" w:rsidRPr="0017063A" w:rsidTr="003A21BF">
        <w:trPr>
          <w:trHeight w:hRule="exact" w:val="33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B2AAD">
              <w:rPr>
                <w:rFonts w:ascii="Times New Roman" w:eastAsia="Times New Roman" w:hAnsi="Times New Roman" w:cs="Times New Roman"/>
                <w:lang w:eastAsia="hr-HR"/>
              </w:rPr>
              <w:t>Broj uzetih uzoraka očne vodice/seruma</w:t>
            </w:r>
            <w:r w:rsidR="00106E35">
              <w:rPr>
                <w:rFonts w:ascii="Times New Roman" w:eastAsia="Times New Roman" w:hAnsi="Times New Roman" w:cs="Times New Roman"/>
                <w:lang w:eastAsia="hr-HR"/>
              </w:rPr>
              <w:t>*</w:t>
            </w:r>
          </w:p>
          <w:p w:rsidR="00106E35" w:rsidRPr="007B2AAD" w:rsidRDefault="00106E35" w:rsidP="003A2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BF" w:rsidRPr="007B2AAD" w:rsidRDefault="003A21BF" w:rsidP="003A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2A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Prikupljanje uzoraka očne vodice/seruma od pacijenata je bazična aktivnost na kojoj se temelji analiza uzoraka i interpretacija rezultata. Iz toga proizlaze sve ostale aktivnosti projekta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BF" w:rsidRDefault="003A21BF" w:rsidP="003A2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A21BF" w:rsidRDefault="003A21BF" w:rsidP="003A2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A21BF" w:rsidRPr="007B2AAD" w:rsidRDefault="003A21BF" w:rsidP="00106E3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2A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1BF" w:rsidRPr="0017063A" w:rsidRDefault="003A21BF" w:rsidP="003A21BF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21BF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21BF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21BF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21BF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21BF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21BF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21BF" w:rsidRPr="0017063A" w:rsidRDefault="003A21BF" w:rsidP="003A2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21BF">
              <w:rPr>
                <w:rFonts w:ascii="Times New Roman" w:eastAsia="Times New Roman" w:hAnsi="Times New Roman" w:cs="Times New Roman"/>
              </w:rPr>
              <w:t>Popisna lista uzetih uzoraka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21BF" w:rsidRPr="0017063A" w:rsidRDefault="003A21BF" w:rsidP="003A21BF">
            <w:pPr>
              <w:widowControl w:val="0"/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3A21BF">
              <w:rPr>
                <w:rFonts w:ascii="Times New Roman" w:eastAsia="Times New Roman" w:hAnsi="Times New Roman" w:cs="Times New Roman"/>
              </w:rPr>
              <w:t>2</w:t>
            </w:r>
            <w:r w:rsidR="00106E35">
              <w:rPr>
                <w:rFonts w:ascii="Times New Roman" w:eastAsia="Times New Roman" w:hAnsi="Times New Roman" w:cs="Times New Roman"/>
              </w:rPr>
              <w:t>.</w:t>
            </w:r>
            <w:r w:rsidRPr="003A21B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1BF" w:rsidRPr="0017063A" w:rsidRDefault="00106E35" w:rsidP="003A21BF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1.800</w:t>
            </w:r>
          </w:p>
        </w:tc>
      </w:tr>
    </w:tbl>
    <w:p w:rsidR="00F00BE3" w:rsidRDefault="00F00BE3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06E35" w:rsidRPr="00106E35" w:rsidRDefault="00106E35" w:rsidP="00106E35">
      <w:pPr>
        <w:pStyle w:val="Odlomakpopisa"/>
        <w:ind w:left="0" w:right="6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</w:t>
      </w:r>
      <w:r w:rsidRPr="00106E35">
        <w:rPr>
          <w:rFonts w:ascii="Times New Roman" w:eastAsia="Times New Roman" w:hAnsi="Times New Roman" w:cs="Times New Roman"/>
        </w:rPr>
        <w:t>Broj uzetih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106E35">
        <w:rPr>
          <w:rFonts w:ascii="Times New Roman" w:eastAsia="Times New Roman" w:hAnsi="Times New Roman" w:cs="Times New Roman"/>
        </w:rPr>
        <w:t xml:space="preserve">uzoraka </w:t>
      </w:r>
      <w:r>
        <w:rPr>
          <w:rFonts w:ascii="Times New Roman" w:eastAsia="Times New Roman" w:hAnsi="Times New Roman" w:cs="Times New Roman"/>
        </w:rPr>
        <w:t>obuhvaća 1.800 uzoraka očne vodice i 1.800 uzoraka seruma</w:t>
      </w:r>
    </w:p>
    <w:p w:rsidR="00F00BE3" w:rsidRPr="00106E35" w:rsidRDefault="00F00BE3" w:rsidP="00106E35">
      <w:pPr>
        <w:pStyle w:val="Odlomakpopisa"/>
        <w:ind w:right="657"/>
        <w:jc w:val="both"/>
        <w:rPr>
          <w:rFonts w:ascii="Times New Roman" w:eastAsia="Times New Roman" w:hAnsi="Times New Roman" w:cs="Times New Roman"/>
          <w:b/>
        </w:rPr>
      </w:pPr>
    </w:p>
    <w:p w:rsidR="00F00BE3" w:rsidRDefault="00F00BE3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00BE3" w:rsidRDefault="00F00BE3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00BE3" w:rsidRDefault="00F00BE3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00BE3" w:rsidRDefault="00F00BE3" w:rsidP="00923B16">
      <w:pPr>
        <w:spacing w:after="0" w:line="240" w:lineRule="auto"/>
        <w:ind w:right="6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7063A" w:rsidRPr="003A21BF" w:rsidRDefault="00E61ABD" w:rsidP="003A21BF">
      <w:pPr>
        <w:widowControl w:val="0"/>
        <w:tabs>
          <w:tab w:val="left" w:pos="4350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063A" w:rsidRPr="0017063A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R</w:t>
      </w:r>
      <w:r w:rsidR="0017063A" w:rsidRPr="0017063A">
        <w:rPr>
          <w:rFonts w:ascii="Times New Roman" w:eastAsia="Arial Unicode MS" w:hAnsi="Times New Roman" w:cs="Times New Roman"/>
          <w:color w:val="000000"/>
          <w:lang w:eastAsia="hr-HR" w:bidi="hr-HR"/>
        </w:rPr>
        <w:t>avnatelj KBC Sestre milosrdnice</w:t>
      </w:r>
    </w:p>
    <w:p w:rsidR="00AA3D56" w:rsidRDefault="00AA3D56" w:rsidP="0017063A">
      <w:pPr>
        <w:widowControl w:val="0"/>
        <w:tabs>
          <w:tab w:val="left" w:pos="435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r-HR" w:bidi="hr-HR"/>
        </w:rPr>
      </w:pPr>
    </w:p>
    <w:p w:rsidR="0017063A" w:rsidRPr="009E4049" w:rsidRDefault="00AA3D56" w:rsidP="009E4049">
      <w:pPr>
        <w:widowControl w:val="0"/>
        <w:tabs>
          <w:tab w:val="left" w:pos="435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>
        <w:rPr>
          <w:rFonts w:ascii="Times New Roman" w:eastAsia="Arial Unicode MS" w:hAnsi="Times New Roman" w:cs="Times New Roman"/>
          <w:color w:val="000000"/>
          <w:lang w:eastAsia="hr-HR" w:bidi="hr-HR"/>
        </w:rPr>
        <w:tab/>
      </w:r>
      <w:r>
        <w:rPr>
          <w:rFonts w:ascii="Times New Roman" w:eastAsia="Arial Unicode MS" w:hAnsi="Times New Roman" w:cs="Times New Roman"/>
          <w:color w:val="000000"/>
          <w:lang w:eastAsia="hr-HR" w:bidi="hr-HR"/>
        </w:rPr>
        <w:tab/>
        <w:t xml:space="preserve">  Prof.dr.sc. Davor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hr-HR" w:bidi="hr-HR"/>
        </w:rPr>
        <w:t>Vagić</w:t>
      </w:r>
      <w:proofErr w:type="spellEnd"/>
      <w:r>
        <w:rPr>
          <w:rFonts w:ascii="Times New Roman" w:eastAsia="Arial Unicode MS" w:hAnsi="Times New Roman" w:cs="Times New Roman"/>
          <w:color w:val="000000"/>
          <w:lang w:eastAsia="hr-HR" w:bidi="hr-HR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hr-HR" w:bidi="hr-HR"/>
        </w:rPr>
        <w:t>dr.med</w:t>
      </w:r>
      <w:proofErr w:type="spellEnd"/>
      <w:r>
        <w:rPr>
          <w:rFonts w:ascii="Times New Roman" w:eastAsia="Arial Unicode MS" w:hAnsi="Times New Roman" w:cs="Times New Roman"/>
          <w:color w:val="000000"/>
          <w:lang w:eastAsia="hr-HR" w:bidi="hr-HR"/>
        </w:rPr>
        <w:t>.</w:t>
      </w:r>
    </w:p>
    <w:sectPr w:rsidR="0017063A" w:rsidRPr="009E4049" w:rsidSect="00B729F7">
      <w:footerReference w:type="default" r:id="rId8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D7" w:rsidRDefault="001F64D7" w:rsidP="000D2C38">
      <w:pPr>
        <w:spacing w:after="0" w:line="240" w:lineRule="auto"/>
      </w:pPr>
      <w:r>
        <w:separator/>
      </w:r>
    </w:p>
  </w:endnote>
  <w:endnote w:type="continuationSeparator" w:id="0">
    <w:p w:rsidR="001F64D7" w:rsidRDefault="001F64D7" w:rsidP="000D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703288"/>
      <w:docPartObj>
        <w:docPartGallery w:val="Page Numbers (Bottom of Page)"/>
        <w:docPartUnique/>
      </w:docPartObj>
    </w:sdtPr>
    <w:sdtContent>
      <w:p w:rsidR="001F64D7" w:rsidRDefault="001F64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F4">
          <w:rPr>
            <w:noProof/>
          </w:rPr>
          <w:t>15</w:t>
        </w:r>
        <w:r>
          <w:fldChar w:fldCharType="end"/>
        </w:r>
      </w:p>
    </w:sdtContent>
  </w:sdt>
  <w:p w:rsidR="001F64D7" w:rsidRDefault="001F64D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D7" w:rsidRDefault="001F64D7" w:rsidP="000D2C38">
      <w:pPr>
        <w:spacing w:after="0" w:line="240" w:lineRule="auto"/>
      </w:pPr>
      <w:r>
        <w:separator/>
      </w:r>
    </w:p>
  </w:footnote>
  <w:footnote w:type="continuationSeparator" w:id="0">
    <w:p w:rsidR="001F64D7" w:rsidRDefault="001F64D7" w:rsidP="000D2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20"/>
    <w:multiLevelType w:val="hybridMultilevel"/>
    <w:tmpl w:val="2C8E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091"/>
    <w:multiLevelType w:val="hybridMultilevel"/>
    <w:tmpl w:val="25B86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8BB"/>
    <w:multiLevelType w:val="hybridMultilevel"/>
    <w:tmpl w:val="06B0DD56"/>
    <w:lvl w:ilvl="0" w:tplc="42204C8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74370D7"/>
    <w:multiLevelType w:val="hybridMultilevel"/>
    <w:tmpl w:val="A544A0B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1B30"/>
    <w:multiLevelType w:val="hybridMultilevel"/>
    <w:tmpl w:val="F05EE814"/>
    <w:lvl w:ilvl="0" w:tplc="0AB8B75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CD71E0"/>
    <w:multiLevelType w:val="multilevel"/>
    <w:tmpl w:val="2E6C6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A40359"/>
    <w:multiLevelType w:val="hybridMultilevel"/>
    <w:tmpl w:val="65AA7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C1FBE"/>
    <w:multiLevelType w:val="hybridMultilevel"/>
    <w:tmpl w:val="2BDAC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F01C3"/>
    <w:multiLevelType w:val="hybridMultilevel"/>
    <w:tmpl w:val="D08E62A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A14C2"/>
    <w:multiLevelType w:val="hybridMultilevel"/>
    <w:tmpl w:val="120CDC94"/>
    <w:lvl w:ilvl="0" w:tplc="A356B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4D2BB5"/>
    <w:multiLevelType w:val="hybridMultilevel"/>
    <w:tmpl w:val="B0BC98D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1523"/>
    <w:multiLevelType w:val="multilevel"/>
    <w:tmpl w:val="2E6C6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007F70"/>
    <w:multiLevelType w:val="hybridMultilevel"/>
    <w:tmpl w:val="A384780C"/>
    <w:lvl w:ilvl="0" w:tplc="8B361966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12EBB"/>
    <w:multiLevelType w:val="hybridMultilevel"/>
    <w:tmpl w:val="3BB60CE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06642"/>
    <w:multiLevelType w:val="hybridMultilevel"/>
    <w:tmpl w:val="86BAFAE2"/>
    <w:lvl w:ilvl="0" w:tplc="5A0C1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438BF"/>
    <w:multiLevelType w:val="hybridMultilevel"/>
    <w:tmpl w:val="B3125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C6194"/>
    <w:multiLevelType w:val="hybridMultilevel"/>
    <w:tmpl w:val="EE26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4"/>
  </w:num>
  <w:num w:numId="9">
    <w:abstractNumId w:val="5"/>
  </w:num>
  <w:num w:numId="10">
    <w:abstractNumId w:val="1"/>
  </w:num>
  <w:num w:numId="11">
    <w:abstractNumId w:val="16"/>
  </w:num>
  <w:num w:numId="12">
    <w:abstractNumId w:val="2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875"/>
    <w:rsid w:val="00007D1D"/>
    <w:rsid w:val="00012DE9"/>
    <w:rsid w:val="00015B64"/>
    <w:rsid w:val="00020D64"/>
    <w:rsid w:val="00022378"/>
    <w:rsid w:val="000262DA"/>
    <w:rsid w:val="0003310F"/>
    <w:rsid w:val="00037A6F"/>
    <w:rsid w:val="0004039E"/>
    <w:rsid w:val="000438DC"/>
    <w:rsid w:val="000457F0"/>
    <w:rsid w:val="00045924"/>
    <w:rsid w:val="0008327F"/>
    <w:rsid w:val="000859AC"/>
    <w:rsid w:val="0009383A"/>
    <w:rsid w:val="0009683B"/>
    <w:rsid w:val="00097065"/>
    <w:rsid w:val="000A3421"/>
    <w:rsid w:val="000A5C4A"/>
    <w:rsid w:val="000A6569"/>
    <w:rsid w:val="000B1AB8"/>
    <w:rsid w:val="000B4852"/>
    <w:rsid w:val="000B58EB"/>
    <w:rsid w:val="000B6BB2"/>
    <w:rsid w:val="000B7516"/>
    <w:rsid w:val="000C0527"/>
    <w:rsid w:val="000C196D"/>
    <w:rsid w:val="000C5D5B"/>
    <w:rsid w:val="000C6D5F"/>
    <w:rsid w:val="000C76AA"/>
    <w:rsid w:val="000C7EEA"/>
    <w:rsid w:val="000D0A1C"/>
    <w:rsid w:val="000D2C38"/>
    <w:rsid w:val="000D5441"/>
    <w:rsid w:val="000E412B"/>
    <w:rsid w:val="000E5C43"/>
    <w:rsid w:val="000F42C2"/>
    <w:rsid w:val="00100D55"/>
    <w:rsid w:val="001034C9"/>
    <w:rsid w:val="0010639C"/>
    <w:rsid w:val="00106E35"/>
    <w:rsid w:val="00110EAB"/>
    <w:rsid w:val="0011108C"/>
    <w:rsid w:val="001175B9"/>
    <w:rsid w:val="001208B7"/>
    <w:rsid w:val="001208DA"/>
    <w:rsid w:val="00122F15"/>
    <w:rsid w:val="00125244"/>
    <w:rsid w:val="0012606A"/>
    <w:rsid w:val="0012713F"/>
    <w:rsid w:val="00127912"/>
    <w:rsid w:val="0013109C"/>
    <w:rsid w:val="001320C2"/>
    <w:rsid w:val="00141F5E"/>
    <w:rsid w:val="00143D23"/>
    <w:rsid w:val="0014479D"/>
    <w:rsid w:val="00145D8C"/>
    <w:rsid w:val="00147C4F"/>
    <w:rsid w:val="001500B8"/>
    <w:rsid w:val="00152C6F"/>
    <w:rsid w:val="00155821"/>
    <w:rsid w:val="001569EA"/>
    <w:rsid w:val="001608B8"/>
    <w:rsid w:val="00162F7D"/>
    <w:rsid w:val="001634A1"/>
    <w:rsid w:val="0016398C"/>
    <w:rsid w:val="00164EFE"/>
    <w:rsid w:val="0016632B"/>
    <w:rsid w:val="00170248"/>
    <w:rsid w:val="0017063A"/>
    <w:rsid w:val="00170A9E"/>
    <w:rsid w:val="00175C52"/>
    <w:rsid w:val="00181030"/>
    <w:rsid w:val="0018129B"/>
    <w:rsid w:val="00182A98"/>
    <w:rsid w:val="00186B7B"/>
    <w:rsid w:val="00192EB1"/>
    <w:rsid w:val="001A5D17"/>
    <w:rsid w:val="001A5FDD"/>
    <w:rsid w:val="001A7102"/>
    <w:rsid w:val="001B58AE"/>
    <w:rsid w:val="001B6AC5"/>
    <w:rsid w:val="001B7AA2"/>
    <w:rsid w:val="001B7ECF"/>
    <w:rsid w:val="001C069F"/>
    <w:rsid w:val="001D3DCC"/>
    <w:rsid w:val="001D7148"/>
    <w:rsid w:val="001E1AD4"/>
    <w:rsid w:val="001E272B"/>
    <w:rsid w:val="001E30E5"/>
    <w:rsid w:val="001F014D"/>
    <w:rsid w:val="001F64D7"/>
    <w:rsid w:val="0021154E"/>
    <w:rsid w:val="00214A53"/>
    <w:rsid w:val="00215634"/>
    <w:rsid w:val="00216115"/>
    <w:rsid w:val="00217AD7"/>
    <w:rsid w:val="00217B15"/>
    <w:rsid w:val="002237DC"/>
    <w:rsid w:val="00224276"/>
    <w:rsid w:val="002243D1"/>
    <w:rsid w:val="00226C26"/>
    <w:rsid w:val="0023022D"/>
    <w:rsid w:val="00232596"/>
    <w:rsid w:val="00237AE5"/>
    <w:rsid w:val="00241E61"/>
    <w:rsid w:val="00243845"/>
    <w:rsid w:val="002447FF"/>
    <w:rsid w:val="00245B1D"/>
    <w:rsid w:val="002469BF"/>
    <w:rsid w:val="00247723"/>
    <w:rsid w:val="002617F6"/>
    <w:rsid w:val="00263036"/>
    <w:rsid w:val="00263435"/>
    <w:rsid w:val="00264C66"/>
    <w:rsid w:val="002653B8"/>
    <w:rsid w:val="00266455"/>
    <w:rsid w:val="0026662F"/>
    <w:rsid w:val="00267A93"/>
    <w:rsid w:val="0027082A"/>
    <w:rsid w:val="00270DDF"/>
    <w:rsid w:val="002772CA"/>
    <w:rsid w:val="002775F4"/>
    <w:rsid w:val="002779CB"/>
    <w:rsid w:val="002840A3"/>
    <w:rsid w:val="002904DF"/>
    <w:rsid w:val="00293952"/>
    <w:rsid w:val="00294E65"/>
    <w:rsid w:val="00294F95"/>
    <w:rsid w:val="0029735D"/>
    <w:rsid w:val="00297F7A"/>
    <w:rsid w:val="002A16DA"/>
    <w:rsid w:val="002A23DA"/>
    <w:rsid w:val="002A4277"/>
    <w:rsid w:val="002A5629"/>
    <w:rsid w:val="002A66D2"/>
    <w:rsid w:val="002A770F"/>
    <w:rsid w:val="002B0306"/>
    <w:rsid w:val="002B037C"/>
    <w:rsid w:val="002B1958"/>
    <w:rsid w:val="002B4B63"/>
    <w:rsid w:val="002B55BA"/>
    <w:rsid w:val="002B7456"/>
    <w:rsid w:val="002C03B3"/>
    <w:rsid w:val="002C1B05"/>
    <w:rsid w:val="002C26E9"/>
    <w:rsid w:val="002C67B0"/>
    <w:rsid w:val="002C6CE2"/>
    <w:rsid w:val="002C6F83"/>
    <w:rsid w:val="002C71EC"/>
    <w:rsid w:val="002D7BEE"/>
    <w:rsid w:val="002F032B"/>
    <w:rsid w:val="003050B0"/>
    <w:rsid w:val="00314154"/>
    <w:rsid w:val="003213DE"/>
    <w:rsid w:val="00321654"/>
    <w:rsid w:val="00323528"/>
    <w:rsid w:val="00333DD5"/>
    <w:rsid w:val="00336D81"/>
    <w:rsid w:val="00343FFE"/>
    <w:rsid w:val="00344B13"/>
    <w:rsid w:val="003560DB"/>
    <w:rsid w:val="0035681F"/>
    <w:rsid w:val="0036113F"/>
    <w:rsid w:val="00361BE8"/>
    <w:rsid w:val="00362243"/>
    <w:rsid w:val="00367AB6"/>
    <w:rsid w:val="003717AB"/>
    <w:rsid w:val="00373497"/>
    <w:rsid w:val="0038096F"/>
    <w:rsid w:val="00394324"/>
    <w:rsid w:val="003969ED"/>
    <w:rsid w:val="003973FC"/>
    <w:rsid w:val="003A0A8C"/>
    <w:rsid w:val="003A21BF"/>
    <w:rsid w:val="003A22DB"/>
    <w:rsid w:val="003A4DCC"/>
    <w:rsid w:val="003A572B"/>
    <w:rsid w:val="003A5A19"/>
    <w:rsid w:val="003A6628"/>
    <w:rsid w:val="003C2E28"/>
    <w:rsid w:val="003D2396"/>
    <w:rsid w:val="003D3F58"/>
    <w:rsid w:val="003D63D9"/>
    <w:rsid w:val="003E24D3"/>
    <w:rsid w:val="003E5D37"/>
    <w:rsid w:val="003F25E8"/>
    <w:rsid w:val="003F600C"/>
    <w:rsid w:val="004038FC"/>
    <w:rsid w:val="00404C83"/>
    <w:rsid w:val="00405D3C"/>
    <w:rsid w:val="00407290"/>
    <w:rsid w:val="0041121B"/>
    <w:rsid w:val="004152CC"/>
    <w:rsid w:val="00417387"/>
    <w:rsid w:val="00422DBB"/>
    <w:rsid w:val="004242ED"/>
    <w:rsid w:val="00427295"/>
    <w:rsid w:val="00436360"/>
    <w:rsid w:val="00436FC2"/>
    <w:rsid w:val="004434CE"/>
    <w:rsid w:val="00443BA5"/>
    <w:rsid w:val="00444095"/>
    <w:rsid w:val="004510A6"/>
    <w:rsid w:val="004516CB"/>
    <w:rsid w:val="00452FA2"/>
    <w:rsid w:val="00454ABA"/>
    <w:rsid w:val="00455D5E"/>
    <w:rsid w:val="00463628"/>
    <w:rsid w:val="00463B10"/>
    <w:rsid w:val="004666C7"/>
    <w:rsid w:val="00466878"/>
    <w:rsid w:val="00472192"/>
    <w:rsid w:val="0047235B"/>
    <w:rsid w:val="00475174"/>
    <w:rsid w:val="0047698F"/>
    <w:rsid w:val="0048243A"/>
    <w:rsid w:val="00484451"/>
    <w:rsid w:val="004851C5"/>
    <w:rsid w:val="004859CC"/>
    <w:rsid w:val="004877D2"/>
    <w:rsid w:val="00487C45"/>
    <w:rsid w:val="004903FE"/>
    <w:rsid w:val="00490CA5"/>
    <w:rsid w:val="00494E73"/>
    <w:rsid w:val="00495973"/>
    <w:rsid w:val="00496399"/>
    <w:rsid w:val="004977FB"/>
    <w:rsid w:val="00497B3E"/>
    <w:rsid w:val="00497C40"/>
    <w:rsid w:val="004A09A7"/>
    <w:rsid w:val="004A4FA2"/>
    <w:rsid w:val="004C5F38"/>
    <w:rsid w:val="004D60BB"/>
    <w:rsid w:val="004D6EE2"/>
    <w:rsid w:val="004E1134"/>
    <w:rsid w:val="004E19B5"/>
    <w:rsid w:val="004E48DF"/>
    <w:rsid w:val="004F3CFF"/>
    <w:rsid w:val="00500DC7"/>
    <w:rsid w:val="00503A68"/>
    <w:rsid w:val="00507DF4"/>
    <w:rsid w:val="00517960"/>
    <w:rsid w:val="005215F3"/>
    <w:rsid w:val="00523424"/>
    <w:rsid w:val="005312C0"/>
    <w:rsid w:val="00532A58"/>
    <w:rsid w:val="00544472"/>
    <w:rsid w:val="00547BCD"/>
    <w:rsid w:val="0055188A"/>
    <w:rsid w:val="00552680"/>
    <w:rsid w:val="0055543F"/>
    <w:rsid w:val="0055574C"/>
    <w:rsid w:val="00571F5E"/>
    <w:rsid w:val="005722A3"/>
    <w:rsid w:val="00583296"/>
    <w:rsid w:val="00583928"/>
    <w:rsid w:val="00585B75"/>
    <w:rsid w:val="00592595"/>
    <w:rsid w:val="005936C6"/>
    <w:rsid w:val="005953B0"/>
    <w:rsid w:val="005A0DE4"/>
    <w:rsid w:val="005A3D40"/>
    <w:rsid w:val="005A6C4F"/>
    <w:rsid w:val="005A75A2"/>
    <w:rsid w:val="005B1AA2"/>
    <w:rsid w:val="005B5C75"/>
    <w:rsid w:val="005C1418"/>
    <w:rsid w:val="005C2B9C"/>
    <w:rsid w:val="005C385B"/>
    <w:rsid w:val="005C3FB0"/>
    <w:rsid w:val="005C40BC"/>
    <w:rsid w:val="005C478E"/>
    <w:rsid w:val="005C67CF"/>
    <w:rsid w:val="005D253B"/>
    <w:rsid w:val="005D3C04"/>
    <w:rsid w:val="005D6F0F"/>
    <w:rsid w:val="005E1991"/>
    <w:rsid w:val="005E4032"/>
    <w:rsid w:val="005E52D4"/>
    <w:rsid w:val="005E58E4"/>
    <w:rsid w:val="005F3F16"/>
    <w:rsid w:val="005F7126"/>
    <w:rsid w:val="006023FB"/>
    <w:rsid w:val="00604B17"/>
    <w:rsid w:val="00605080"/>
    <w:rsid w:val="006069FB"/>
    <w:rsid w:val="00610AFB"/>
    <w:rsid w:val="006143CF"/>
    <w:rsid w:val="00622EBF"/>
    <w:rsid w:val="00623223"/>
    <w:rsid w:val="0062375B"/>
    <w:rsid w:val="00623F23"/>
    <w:rsid w:val="00624C16"/>
    <w:rsid w:val="006256D4"/>
    <w:rsid w:val="00625C2E"/>
    <w:rsid w:val="006331D9"/>
    <w:rsid w:val="00635D85"/>
    <w:rsid w:val="00637DDE"/>
    <w:rsid w:val="00642EEE"/>
    <w:rsid w:val="0064404D"/>
    <w:rsid w:val="00650B5D"/>
    <w:rsid w:val="006565DA"/>
    <w:rsid w:val="00656C31"/>
    <w:rsid w:val="00662D16"/>
    <w:rsid w:val="0066588D"/>
    <w:rsid w:val="00672662"/>
    <w:rsid w:val="00681C0F"/>
    <w:rsid w:val="00682CCA"/>
    <w:rsid w:val="00687913"/>
    <w:rsid w:val="00692EF7"/>
    <w:rsid w:val="006946B4"/>
    <w:rsid w:val="00697AD8"/>
    <w:rsid w:val="006A2F72"/>
    <w:rsid w:val="006A4541"/>
    <w:rsid w:val="006A58EC"/>
    <w:rsid w:val="006B10AC"/>
    <w:rsid w:val="006B3D8A"/>
    <w:rsid w:val="006B4B4D"/>
    <w:rsid w:val="006B5131"/>
    <w:rsid w:val="006B7453"/>
    <w:rsid w:val="006C7C53"/>
    <w:rsid w:val="006D6CD8"/>
    <w:rsid w:val="006E23A5"/>
    <w:rsid w:val="006E3E2F"/>
    <w:rsid w:val="006E7872"/>
    <w:rsid w:val="006E7DB9"/>
    <w:rsid w:val="006F13DB"/>
    <w:rsid w:val="006F342C"/>
    <w:rsid w:val="006F4E7A"/>
    <w:rsid w:val="00703A7B"/>
    <w:rsid w:val="00706173"/>
    <w:rsid w:val="00707AE6"/>
    <w:rsid w:val="007101C1"/>
    <w:rsid w:val="00711606"/>
    <w:rsid w:val="00720162"/>
    <w:rsid w:val="007214CF"/>
    <w:rsid w:val="0072153A"/>
    <w:rsid w:val="0072334A"/>
    <w:rsid w:val="00726448"/>
    <w:rsid w:val="00726FA6"/>
    <w:rsid w:val="00734230"/>
    <w:rsid w:val="007375F5"/>
    <w:rsid w:val="007439FE"/>
    <w:rsid w:val="007475B3"/>
    <w:rsid w:val="007530E4"/>
    <w:rsid w:val="0076477E"/>
    <w:rsid w:val="007650C0"/>
    <w:rsid w:val="00766FDB"/>
    <w:rsid w:val="007676EC"/>
    <w:rsid w:val="007706A9"/>
    <w:rsid w:val="00770E14"/>
    <w:rsid w:val="00773D5C"/>
    <w:rsid w:val="007742BC"/>
    <w:rsid w:val="00777DCE"/>
    <w:rsid w:val="00780936"/>
    <w:rsid w:val="00795537"/>
    <w:rsid w:val="00796716"/>
    <w:rsid w:val="007A0115"/>
    <w:rsid w:val="007A663E"/>
    <w:rsid w:val="007B1BC4"/>
    <w:rsid w:val="007B257F"/>
    <w:rsid w:val="007B6C9F"/>
    <w:rsid w:val="007B7E20"/>
    <w:rsid w:val="007C07CE"/>
    <w:rsid w:val="007C1882"/>
    <w:rsid w:val="007C2A64"/>
    <w:rsid w:val="007C2E63"/>
    <w:rsid w:val="007C56AE"/>
    <w:rsid w:val="007D1E28"/>
    <w:rsid w:val="007D4DD7"/>
    <w:rsid w:val="007E35AC"/>
    <w:rsid w:val="007F0682"/>
    <w:rsid w:val="007F5CEC"/>
    <w:rsid w:val="00806B95"/>
    <w:rsid w:val="0081215C"/>
    <w:rsid w:val="00817085"/>
    <w:rsid w:val="008175AF"/>
    <w:rsid w:val="00827587"/>
    <w:rsid w:val="0083036E"/>
    <w:rsid w:val="00833ECF"/>
    <w:rsid w:val="0084578B"/>
    <w:rsid w:val="00853E3D"/>
    <w:rsid w:val="00855106"/>
    <w:rsid w:val="00865D43"/>
    <w:rsid w:val="0086630E"/>
    <w:rsid w:val="0087051A"/>
    <w:rsid w:val="0087526D"/>
    <w:rsid w:val="0088164A"/>
    <w:rsid w:val="00881B5B"/>
    <w:rsid w:val="00886954"/>
    <w:rsid w:val="00886D68"/>
    <w:rsid w:val="00890D80"/>
    <w:rsid w:val="00892C84"/>
    <w:rsid w:val="00896C38"/>
    <w:rsid w:val="00897F83"/>
    <w:rsid w:val="008A0DD0"/>
    <w:rsid w:val="008A6A60"/>
    <w:rsid w:val="008A7534"/>
    <w:rsid w:val="008A7EAD"/>
    <w:rsid w:val="008B41AB"/>
    <w:rsid w:val="008B5ABC"/>
    <w:rsid w:val="008B6DC9"/>
    <w:rsid w:val="008B7076"/>
    <w:rsid w:val="008C2D79"/>
    <w:rsid w:val="008C390C"/>
    <w:rsid w:val="008D5216"/>
    <w:rsid w:val="008E19A4"/>
    <w:rsid w:val="008E4835"/>
    <w:rsid w:val="008E53F3"/>
    <w:rsid w:val="00900677"/>
    <w:rsid w:val="00904F0B"/>
    <w:rsid w:val="00913F50"/>
    <w:rsid w:val="00917D98"/>
    <w:rsid w:val="00921C26"/>
    <w:rsid w:val="00923B16"/>
    <w:rsid w:val="0093255F"/>
    <w:rsid w:val="0094274B"/>
    <w:rsid w:val="00944AE7"/>
    <w:rsid w:val="00947D4F"/>
    <w:rsid w:val="0095400D"/>
    <w:rsid w:val="00955646"/>
    <w:rsid w:val="00955AF9"/>
    <w:rsid w:val="0095672B"/>
    <w:rsid w:val="00962E83"/>
    <w:rsid w:val="009666D2"/>
    <w:rsid w:val="009673FA"/>
    <w:rsid w:val="00972E10"/>
    <w:rsid w:val="00975BA7"/>
    <w:rsid w:val="00984ED7"/>
    <w:rsid w:val="00984F68"/>
    <w:rsid w:val="00986AF0"/>
    <w:rsid w:val="00992389"/>
    <w:rsid w:val="00995911"/>
    <w:rsid w:val="009A174D"/>
    <w:rsid w:val="009B0CDE"/>
    <w:rsid w:val="009B1DC2"/>
    <w:rsid w:val="009B6E5E"/>
    <w:rsid w:val="009C0D76"/>
    <w:rsid w:val="009C3555"/>
    <w:rsid w:val="009C7BF1"/>
    <w:rsid w:val="009D41C0"/>
    <w:rsid w:val="009D4967"/>
    <w:rsid w:val="009D4DA1"/>
    <w:rsid w:val="009D7CA0"/>
    <w:rsid w:val="009E086B"/>
    <w:rsid w:val="009E241E"/>
    <w:rsid w:val="009E4049"/>
    <w:rsid w:val="009E7A1D"/>
    <w:rsid w:val="009F0574"/>
    <w:rsid w:val="00A00772"/>
    <w:rsid w:val="00A06B91"/>
    <w:rsid w:val="00A0751A"/>
    <w:rsid w:val="00A10514"/>
    <w:rsid w:val="00A1440A"/>
    <w:rsid w:val="00A16C62"/>
    <w:rsid w:val="00A20255"/>
    <w:rsid w:val="00A20F50"/>
    <w:rsid w:val="00A21A58"/>
    <w:rsid w:val="00A246F6"/>
    <w:rsid w:val="00A27AD8"/>
    <w:rsid w:val="00A369A3"/>
    <w:rsid w:val="00A412E8"/>
    <w:rsid w:val="00A412F7"/>
    <w:rsid w:val="00A44970"/>
    <w:rsid w:val="00A45C2E"/>
    <w:rsid w:val="00A46E7E"/>
    <w:rsid w:val="00A473E9"/>
    <w:rsid w:val="00A476C1"/>
    <w:rsid w:val="00A520E1"/>
    <w:rsid w:val="00A5268A"/>
    <w:rsid w:val="00A5414F"/>
    <w:rsid w:val="00A57092"/>
    <w:rsid w:val="00A623E8"/>
    <w:rsid w:val="00A67AEE"/>
    <w:rsid w:val="00A67F50"/>
    <w:rsid w:val="00A840AF"/>
    <w:rsid w:val="00A9222B"/>
    <w:rsid w:val="00A95145"/>
    <w:rsid w:val="00A95E8A"/>
    <w:rsid w:val="00AA0D29"/>
    <w:rsid w:val="00AA3D56"/>
    <w:rsid w:val="00AA4B04"/>
    <w:rsid w:val="00AA5019"/>
    <w:rsid w:val="00AA7AAF"/>
    <w:rsid w:val="00AB0046"/>
    <w:rsid w:val="00AB2088"/>
    <w:rsid w:val="00AB4B2C"/>
    <w:rsid w:val="00AB54D3"/>
    <w:rsid w:val="00AB7FC1"/>
    <w:rsid w:val="00AC24AF"/>
    <w:rsid w:val="00AC288F"/>
    <w:rsid w:val="00AC50A1"/>
    <w:rsid w:val="00AC7367"/>
    <w:rsid w:val="00AD0085"/>
    <w:rsid w:val="00AD5880"/>
    <w:rsid w:val="00AD5C72"/>
    <w:rsid w:val="00AD5FC2"/>
    <w:rsid w:val="00AE07D8"/>
    <w:rsid w:val="00AE0B6E"/>
    <w:rsid w:val="00AE1586"/>
    <w:rsid w:val="00AE2812"/>
    <w:rsid w:val="00AE7565"/>
    <w:rsid w:val="00AF079F"/>
    <w:rsid w:val="00AF3DB1"/>
    <w:rsid w:val="00B0279C"/>
    <w:rsid w:val="00B02CA8"/>
    <w:rsid w:val="00B02DAC"/>
    <w:rsid w:val="00B1268E"/>
    <w:rsid w:val="00B12EDF"/>
    <w:rsid w:val="00B15FF4"/>
    <w:rsid w:val="00B21513"/>
    <w:rsid w:val="00B222CA"/>
    <w:rsid w:val="00B32635"/>
    <w:rsid w:val="00B44413"/>
    <w:rsid w:val="00B50B97"/>
    <w:rsid w:val="00B51946"/>
    <w:rsid w:val="00B52643"/>
    <w:rsid w:val="00B55530"/>
    <w:rsid w:val="00B61870"/>
    <w:rsid w:val="00B61990"/>
    <w:rsid w:val="00B66D31"/>
    <w:rsid w:val="00B71AC0"/>
    <w:rsid w:val="00B729F7"/>
    <w:rsid w:val="00B7622F"/>
    <w:rsid w:val="00B7793B"/>
    <w:rsid w:val="00B81DE6"/>
    <w:rsid w:val="00B8378D"/>
    <w:rsid w:val="00B85243"/>
    <w:rsid w:val="00B93EB5"/>
    <w:rsid w:val="00B93EF3"/>
    <w:rsid w:val="00B946D5"/>
    <w:rsid w:val="00B948D8"/>
    <w:rsid w:val="00BA0BE5"/>
    <w:rsid w:val="00BA7B55"/>
    <w:rsid w:val="00BB0856"/>
    <w:rsid w:val="00BB7A3F"/>
    <w:rsid w:val="00BC2233"/>
    <w:rsid w:val="00BD2CF3"/>
    <w:rsid w:val="00BE1C85"/>
    <w:rsid w:val="00BE62E3"/>
    <w:rsid w:val="00BE6570"/>
    <w:rsid w:val="00BF0A3C"/>
    <w:rsid w:val="00BF1AA5"/>
    <w:rsid w:val="00BF1C1A"/>
    <w:rsid w:val="00BF44C6"/>
    <w:rsid w:val="00BF472E"/>
    <w:rsid w:val="00C004ED"/>
    <w:rsid w:val="00C1041A"/>
    <w:rsid w:val="00C11465"/>
    <w:rsid w:val="00C1713D"/>
    <w:rsid w:val="00C17E72"/>
    <w:rsid w:val="00C21C38"/>
    <w:rsid w:val="00C30EE3"/>
    <w:rsid w:val="00C32EC2"/>
    <w:rsid w:val="00C33C4E"/>
    <w:rsid w:val="00C429C0"/>
    <w:rsid w:val="00C43E91"/>
    <w:rsid w:val="00C530E0"/>
    <w:rsid w:val="00C5512C"/>
    <w:rsid w:val="00C55E10"/>
    <w:rsid w:val="00C6236C"/>
    <w:rsid w:val="00C64D50"/>
    <w:rsid w:val="00C7280C"/>
    <w:rsid w:val="00C77142"/>
    <w:rsid w:val="00C8195F"/>
    <w:rsid w:val="00C82776"/>
    <w:rsid w:val="00C832F6"/>
    <w:rsid w:val="00C91629"/>
    <w:rsid w:val="00C92A60"/>
    <w:rsid w:val="00C94143"/>
    <w:rsid w:val="00C977ED"/>
    <w:rsid w:val="00CA12E2"/>
    <w:rsid w:val="00CA2159"/>
    <w:rsid w:val="00CA55A8"/>
    <w:rsid w:val="00CA5984"/>
    <w:rsid w:val="00CA6DC0"/>
    <w:rsid w:val="00CA76CB"/>
    <w:rsid w:val="00CD13A3"/>
    <w:rsid w:val="00CD288F"/>
    <w:rsid w:val="00CE4735"/>
    <w:rsid w:val="00CE4B54"/>
    <w:rsid w:val="00CF29EF"/>
    <w:rsid w:val="00CF590F"/>
    <w:rsid w:val="00CF6FDB"/>
    <w:rsid w:val="00CF7937"/>
    <w:rsid w:val="00D0025F"/>
    <w:rsid w:val="00D019AB"/>
    <w:rsid w:val="00D11FCC"/>
    <w:rsid w:val="00D13396"/>
    <w:rsid w:val="00D1401C"/>
    <w:rsid w:val="00D1584A"/>
    <w:rsid w:val="00D22C39"/>
    <w:rsid w:val="00D2614E"/>
    <w:rsid w:val="00D328C7"/>
    <w:rsid w:val="00D35C6A"/>
    <w:rsid w:val="00D3680D"/>
    <w:rsid w:val="00D36A88"/>
    <w:rsid w:val="00D4204F"/>
    <w:rsid w:val="00D46747"/>
    <w:rsid w:val="00D47BE9"/>
    <w:rsid w:val="00D5417F"/>
    <w:rsid w:val="00D5610F"/>
    <w:rsid w:val="00D56DD1"/>
    <w:rsid w:val="00D66988"/>
    <w:rsid w:val="00D712B9"/>
    <w:rsid w:val="00D719E9"/>
    <w:rsid w:val="00D74041"/>
    <w:rsid w:val="00D80710"/>
    <w:rsid w:val="00D842D3"/>
    <w:rsid w:val="00D907B3"/>
    <w:rsid w:val="00D94A24"/>
    <w:rsid w:val="00D972FE"/>
    <w:rsid w:val="00D97F37"/>
    <w:rsid w:val="00DA0FEB"/>
    <w:rsid w:val="00DA30A7"/>
    <w:rsid w:val="00DA50E1"/>
    <w:rsid w:val="00DB392B"/>
    <w:rsid w:val="00DB39F6"/>
    <w:rsid w:val="00DB76B1"/>
    <w:rsid w:val="00DC29CF"/>
    <w:rsid w:val="00DC2FE5"/>
    <w:rsid w:val="00DC30B1"/>
    <w:rsid w:val="00DC34BD"/>
    <w:rsid w:val="00DC47CB"/>
    <w:rsid w:val="00DC5398"/>
    <w:rsid w:val="00DD2512"/>
    <w:rsid w:val="00DD2586"/>
    <w:rsid w:val="00DD2BE9"/>
    <w:rsid w:val="00DD36B3"/>
    <w:rsid w:val="00DD39BB"/>
    <w:rsid w:val="00DD3C1C"/>
    <w:rsid w:val="00DD7454"/>
    <w:rsid w:val="00DE3F92"/>
    <w:rsid w:val="00DE656A"/>
    <w:rsid w:val="00DE734A"/>
    <w:rsid w:val="00DF4BE8"/>
    <w:rsid w:val="00DF778D"/>
    <w:rsid w:val="00DF7EFA"/>
    <w:rsid w:val="00E011E8"/>
    <w:rsid w:val="00E10AD6"/>
    <w:rsid w:val="00E16095"/>
    <w:rsid w:val="00E16972"/>
    <w:rsid w:val="00E175ED"/>
    <w:rsid w:val="00E20C4B"/>
    <w:rsid w:val="00E21B89"/>
    <w:rsid w:val="00E24485"/>
    <w:rsid w:val="00E34EA9"/>
    <w:rsid w:val="00E35423"/>
    <w:rsid w:val="00E36AEC"/>
    <w:rsid w:val="00E37808"/>
    <w:rsid w:val="00E46E5C"/>
    <w:rsid w:val="00E52D5A"/>
    <w:rsid w:val="00E54248"/>
    <w:rsid w:val="00E6040A"/>
    <w:rsid w:val="00E61223"/>
    <w:rsid w:val="00E61ABD"/>
    <w:rsid w:val="00E7321C"/>
    <w:rsid w:val="00E74D93"/>
    <w:rsid w:val="00E75996"/>
    <w:rsid w:val="00E77B36"/>
    <w:rsid w:val="00E87F58"/>
    <w:rsid w:val="00E97B94"/>
    <w:rsid w:val="00EA7111"/>
    <w:rsid w:val="00EB2A4D"/>
    <w:rsid w:val="00EB785B"/>
    <w:rsid w:val="00EC06FC"/>
    <w:rsid w:val="00EC40EE"/>
    <w:rsid w:val="00EC76BE"/>
    <w:rsid w:val="00ED3A49"/>
    <w:rsid w:val="00ED4084"/>
    <w:rsid w:val="00EE177C"/>
    <w:rsid w:val="00EE3636"/>
    <w:rsid w:val="00EE72AB"/>
    <w:rsid w:val="00EF02FB"/>
    <w:rsid w:val="00EF0A66"/>
    <w:rsid w:val="00F00BE3"/>
    <w:rsid w:val="00F029BD"/>
    <w:rsid w:val="00F06BFF"/>
    <w:rsid w:val="00F10927"/>
    <w:rsid w:val="00F14748"/>
    <w:rsid w:val="00F17E48"/>
    <w:rsid w:val="00F210A8"/>
    <w:rsid w:val="00F2642D"/>
    <w:rsid w:val="00F27A7D"/>
    <w:rsid w:val="00F34537"/>
    <w:rsid w:val="00F34FEC"/>
    <w:rsid w:val="00F41520"/>
    <w:rsid w:val="00F42614"/>
    <w:rsid w:val="00F426A5"/>
    <w:rsid w:val="00F45550"/>
    <w:rsid w:val="00F471E7"/>
    <w:rsid w:val="00F54BDD"/>
    <w:rsid w:val="00F54D97"/>
    <w:rsid w:val="00F5733A"/>
    <w:rsid w:val="00F57B41"/>
    <w:rsid w:val="00F61869"/>
    <w:rsid w:val="00F61C84"/>
    <w:rsid w:val="00F64F00"/>
    <w:rsid w:val="00F65F10"/>
    <w:rsid w:val="00F70550"/>
    <w:rsid w:val="00F73C72"/>
    <w:rsid w:val="00F75103"/>
    <w:rsid w:val="00F768F4"/>
    <w:rsid w:val="00F77DCC"/>
    <w:rsid w:val="00F812C1"/>
    <w:rsid w:val="00F86FB4"/>
    <w:rsid w:val="00F87C30"/>
    <w:rsid w:val="00F87FC6"/>
    <w:rsid w:val="00F9219D"/>
    <w:rsid w:val="00F94D3D"/>
    <w:rsid w:val="00F977B8"/>
    <w:rsid w:val="00FA0426"/>
    <w:rsid w:val="00FA1AE4"/>
    <w:rsid w:val="00FA54B8"/>
    <w:rsid w:val="00FA6D46"/>
    <w:rsid w:val="00FB0E70"/>
    <w:rsid w:val="00FB2586"/>
    <w:rsid w:val="00FC3D67"/>
    <w:rsid w:val="00FC5790"/>
    <w:rsid w:val="00FC62A6"/>
    <w:rsid w:val="00FD4D63"/>
    <w:rsid w:val="00FE58D8"/>
    <w:rsid w:val="00FE72D9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A2F7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A2F7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5911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0D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2C38"/>
  </w:style>
  <w:style w:type="numbering" w:customStyle="1" w:styleId="Bezpopisa1">
    <w:name w:val="Bez popisa1"/>
    <w:next w:val="Bezpopisa"/>
    <w:uiPriority w:val="99"/>
    <w:semiHidden/>
    <w:unhideWhenUsed/>
    <w:rsid w:val="0017063A"/>
  </w:style>
  <w:style w:type="character" w:customStyle="1" w:styleId="TijelotekstaChar">
    <w:name w:val="Tijelo teksta Char"/>
    <w:basedOn w:val="Zadanifontodlomka"/>
    <w:link w:val="Tijeloteksta"/>
    <w:rsid w:val="001706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Zadanifontodlomka"/>
    <w:link w:val="Other0"/>
    <w:rsid w:val="001706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Zadanifontodlomka"/>
    <w:link w:val="Heading30"/>
    <w:rsid w:val="001706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4">
    <w:name w:val="Heading #4_"/>
    <w:basedOn w:val="Zadanifontodlomka"/>
    <w:link w:val="Heading40"/>
    <w:rsid w:val="001706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">
    <w:name w:val="Table caption_"/>
    <w:basedOn w:val="Zadanifontodlomka"/>
    <w:link w:val="Tablecaption0"/>
    <w:rsid w:val="001706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Zadanifontodlomka"/>
    <w:link w:val="Bodytext40"/>
    <w:rsid w:val="001706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Tijeloteksta">
    <w:name w:val="Body Text"/>
    <w:basedOn w:val="Normal"/>
    <w:link w:val="TijelotekstaChar"/>
    <w:qFormat/>
    <w:rsid w:val="0017063A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Zadanifontodlomka"/>
    <w:uiPriority w:val="99"/>
    <w:semiHidden/>
    <w:rsid w:val="0017063A"/>
  </w:style>
  <w:style w:type="paragraph" w:customStyle="1" w:styleId="Other0">
    <w:name w:val="Other"/>
    <w:basedOn w:val="Normal"/>
    <w:link w:val="Other"/>
    <w:rsid w:val="0017063A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17063A"/>
    <w:pPr>
      <w:widowControl w:val="0"/>
      <w:shd w:val="clear" w:color="auto" w:fill="FFFFFF"/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0">
    <w:name w:val="Heading #4"/>
    <w:basedOn w:val="Normal"/>
    <w:link w:val="Heading4"/>
    <w:rsid w:val="0017063A"/>
    <w:pPr>
      <w:widowControl w:val="0"/>
      <w:shd w:val="clear" w:color="auto" w:fill="FFFFFF"/>
      <w:spacing w:after="100" w:line="240" w:lineRule="auto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17063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17063A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17063A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77299-C2A6-4008-947A-94F0E0BB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15</Pages>
  <Words>6198</Words>
  <Characters>35331</Characters>
  <Application>Microsoft Office Word</Application>
  <DocSecurity>0</DocSecurity>
  <Lines>294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Jasna Dimec</cp:lastModifiedBy>
  <cp:revision>21</cp:revision>
  <cp:lastPrinted>2026-03-09T08:45:00Z</cp:lastPrinted>
  <dcterms:created xsi:type="dcterms:W3CDTF">2026-03-09T10:06:00Z</dcterms:created>
  <dcterms:modified xsi:type="dcterms:W3CDTF">2026-03-16T14:56:00Z</dcterms:modified>
</cp:coreProperties>
</file>