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4C" w:rsidRPr="00A57092" w:rsidRDefault="009E024C" w:rsidP="009E024C">
      <w:pPr>
        <w:spacing w:before="120"/>
        <w:ind w:right="90"/>
        <w:rPr>
          <w:rFonts w:ascii="Times New Roman" w:hAnsi="Times New Roman" w:cs="Times New Roman"/>
          <w:b/>
          <w:sz w:val="24"/>
          <w:szCs w:val="24"/>
        </w:rPr>
      </w:pPr>
      <w:r w:rsidRPr="00A57092">
        <w:rPr>
          <w:rFonts w:ascii="Times New Roman" w:hAnsi="Times New Roman" w:cs="Times New Roman"/>
          <w:b/>
          <w:sz w:val="24"/>
          <w:szCs w:val="24"/>
        </w:rPr>
        <w:t>26395 Klinički bolnički centar Sestre milosrdnice</w:t>
      </w:r>
    </w:p>
    <w:p w:rsidR="009E024C" w:rsidRPr="00D60B65" w:rsidRDefault="008B7057" w:rsidP="008B7057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B65">
        <w:rPr>
          <w:rFonts w:ascii="Times New Roman" w:hAnsi="Times New Roman" w:cs="Times New Roman"/>
          <w:b/>
          <w:sz w:val="28"/>
          <w:szCs w:val="28"/>
        </w:rPr>
        <w:t>III OBRAZLOŽENJE</w:t>
      </w:r>
    </w:p>
    <w:p w:rsidR="009E024C" w:rsidRPr="00366B19" w:rsidRDefault="009E024C" w:rsidP="009E024C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B19">
        <w:rPr>
          <w:rFonts w:ascii="Times New Roman" w:hAnsi="Times New Roman" w:cs="Times New Roman"/>
          <w:b/>
          <w:sz w:val="28"/>
          <w:szCs w:val="28"/>
        </w:rPr>
        <w:t xml:space="preserve">1. OBRAZLOŽENJE OPĆEG DIJELA FINANCIJSKOG PLANA </w:t>
      </w:r>
    </w:p>
    <w:p w:rsidR="009E024C" w:rsidRDefault="009E024C" w:rsidP="009E024C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24C" w:rsidRPr="00F61C84" w:rsidRDefault="009E024C" w:rsidP="009E024C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UVOD</w:t>
      </w:r>
    </w:p>
    <w:p w:rsidR="009E024C" w:rsidRPr="00241E61" w:rsidRDefault="009E024C" w:rsidP="009E024C">
      <w:pPr>
        <w:spacing w:before="120" w:after="0"/>
        <w:ind w:right="9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Klinički bolnički centar Sestre milosrdnice je zdravstvena ustanova u vlasništvu Republike Hrvatske koja obavlja djelatnost stacionarne zdravstvene zaštite i specijalističko-konzilijarne zdravstvene zaštite (ordinacije, dijagnostičke jedinice, dnevne bolnice i jednodnevne kirurgije, hemodijaliza), te znanstveno nastavnu djelatnost, klinička istraživanja i medicinska vještačenja. U obavljanju poslova sudjeluje još i bolnička ljekarna, odjel medicinske fizike i nemedicinske djelatnosti.</w:t>
      </w:r>
    </w:p>
    <w:p w:rsidR="009E024C" w:rsidRPr="00241E61" w:rsidRDefault="009E024C" w:rsidP="002B4484">
      <w:pPr>
        <w:spacing w:before="12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Ustanova </w:t>
      </w:r>
      <w:r w:rsidR="00F67463">
        <w:rPr>
          <w:rFonts w:ascii="Times New Roman" w:hAnsi="Times New Roman" w:cs="Times New Roman"/>
          <w:sz w:val="24"/>
          <w:szCs w:val="24"/>
        </w:rPr>
        <w:t xml:space="preserve">je paviljonskog tipa i </w:t>
      </w:r>
      <w:r w:rsidRPr="00241E61">
        <w:rPr>
          <w:rFonts w:ascii="Times New Roman" w:hAnsi="Times New Roman" w:cs="Times New Roman"/>
          <w:sz w:val="24"/>
          <w:szCs w:val="24"/>
        </w:rPr>
        <w:t xml:space="preserve">djeluje na tri </w:t>
      </w:r>
      <w:r w:rsidR="00F67463">
        <w:rPr>
          <w:rFonts w:ascii="Times New Roman" w:hAnsi="Times New Roman" w:cs="Times New Roman"/>
          <w:sz w:val="24"/>
          <w:szCs w:val="24"/>
        </w:rPr>
        <w:t xml:space="preserve">lokacije.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Rješenjem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Mi</w:t>
      </w:r>
      <w:proofErr w:type="spellStart"/>
      <w:r w:rsidRPr="00241E61">
        <w:rPr>
          <w:rFonts w:ascii="Times New Roman" w:hAnsi="Times New Roman" w:cs="Times New Roman"/>
          <w:sz w:val="24"/>
          <w:szCs w:val="24"/>
        </w:rPr>
        <w:t>nistarstva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zdravstva Republike Hrvatske priznato je 28 referentnih centara u kojima se obavljaju najsloženiji oblici zdravstvene zaštite.</w:t>
      </w:r>
      <w:r w:rsidR="002B4484"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Upravo iz tog razloga, osim bolesnika iz pripadajućih gradskih četvrti, u Klinički bolnički centar dolaze i pacijenti ne samo iz drugih županija naše Republike, već i iz okolnih regija (oko 25 % pacijenata odnosi se na područja koja pripadaju drugim zdravstvenim ustanovama).</w:t>
      </w:r>
    </w:p>
    <w:p w:rsidR="009E024C" w:rsidRPr="00241E61" w:rsidRDefault="009E024C" w:rsidP="009E024C">
      <w:pPr>
        <w:spacing w:before="12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S Hrvatskim zavodom za zdravstveno osiguranje Klinički bolnički centar ima ugovoreno </w:t>
      </w:r>
      <w:r w:rsidRPr="00887320">
        <w:rPr>
          <w:rFonts w:ascii="Times New Roman" w:hAnsi="Times New Roman" w:cs="Times New Roman"/>
          <w:sz w:val="24"/>
          <w:szCs w:val="24"/>
        </w:rPr>
        <w:t xml:space="preserve">1.149 postelja za liječenje bolesnika od akutnih bolesti i za produženo liječenje, 236 mjesta u dnevnim bolnicama te preko 450 različitih ambulanti i dijagnostičkih jedinica, a u Ustanovi radi </w:t>
      </w:r>
      <w:r w:rsidR="00A363FC">
        <w:rPr>
          <w:rFonts w:ascii="Times New Roman" w:hAnsi="Times New Roman" w:cs="Times New Roman"/>
          <w:sz w:val="24"/>
          <w:szCs w:val="24"/>
        </w:rPr>
        <w:t>4</w:t>
      </w:r>
      <w:r w:rsidRPr="00887320">
        <w:rPr>
          <w:rFonts w:ascii="Times New Roman" w:hAnsi="Times New Roman" w:cs="Times New Roman"/>
          <w:sz w:val="24"/>
          <w:szCs w:val="24"/>
        </w:rPr>
        <w:t>.</w:t>
      </w:r>
      <w:r w:rsidR="00A363FC">
        <w:rPr>
          <w:rFonts w:ascii="Times New Roman" w:hAnsi="Times New Roman" w:cs="Times New Roman"/>
          <w:sz w:val="24"/>
          <w:szCs w:val="24"/>
        </w:rPr>
        <w:t xml:space="preserve">071 </w:t>
      </w:r>
      <w:r w:rsidRPr="00887320">
        <w:rPr>
          <w:rFonts w:ascii="Times New Roman" w:hAnsi="Times New Roman" w:cs="Times New Roman"/>
          <w:sz w:val="24"/>
          <w:szCs w:val="24"/>
        </w:rPr>
        <w:t>stalno zaposleni</w:t>
      </w:r>
      <w:r>
        <w:rPr>
          <w:rFonts w:ascii="Times New Roman" w:hAnsi="Times New Roman" w:cs="Times New Roman"/>
          <w:sz w:val="24"/>
          <w:szCs w:val="24"/>
        </w:rPr>
        <w:t xml:space="preserve"> djelatnik</w:t>
      </w:r>
      <w:r w:rsidRPr="00241E61">
        <w:rPr>
          <w:rFonts w:ascii="Times New Roman" w:hAnsi="Times New Roman" w:cs="Times New Roman"/>
          <w:sz w:val="24"/>
          <w:szCs w:val="24"/>
        </w:rPr>
        <w:t>.</w:t>
      </w:r>
      <w:r w:rsidR="002B4484">
        <w:rPr>
          <w:rFonts w:ascii="Times New Roman" w:hAnsi="Times New Roman" w:cs="Times New Roman"/>
          <w:sz w:val="24"/>
          <w:szCs w:val="24"/>
        </w:rPr>
        <w:t xml:space="preserve"> Prema novoj Mreži javne zdravstvene službe (NN</w:t>
      </w:r>
      <w:r w:rsidR="00301E6E">
        <w:rPr>
          <w:rFonts w:ascii="Times New Roman" w:hAnsi="Times New Roman" w:cs="Times New Roman"/>
          <w:sz w:val="24"/>
          <w:szCs w:val="24"/>
        </w:rPr>
        <w:t xml:space="preserve"> 49/</w:t>
      </w:r>
      <w:r w:rsidR="002B4484">
        <w:rPr>
          <w:rFonts w:ascii="Times New Roman" w:hAnsi="Times New Roman" w:cs="Times New Roman"/>
          <w:sz w:val="24"/>
          <w:szCs w:val="24"/>
        </w:rPr>
        <w:t xml:space="preserve">24) </w:t>
      </w:r>
      <w:r w:rsidR="00B53FA2">
        <w:rPr>
          <w:rFonts w:ascii="Times New Roman" w:hAnsi="Times New Roman" w:cs="Times New Roman"/>
          <w:sz w:val="24"/>
          <w:szCs w:val="24"/>
        </w:rPr>
        <w:t>kroz aplikaciju Hrvatskog zavoda za zdravstveno osiguranje bit će moguće ugovoriti 1.177 postelja za akutne bolesti, produženo liječenje i palijativnu skrb, te 280 mjesta u dnevnim bolnicama.</w:t>
      </w:r>
    </w:p>
    <w:p w:rsidR="009E024C" w:rsidRPr="00241E61" w:rsidRDefault="009E024C" w:rsidP="009E024C">
      <w:pPr>
        <w:spacing w:before="120" w:after="0"/>
        <w:ind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Djelovanje K</w:t>
      </w:r>
      <w:r>
        <w:rPr>
          <w:rFonts w:ascii="Times New Roman" w:hAnsi="Times New Roman" w:cs="Times New Roman"/>
          <w:sz w:val="24"/>
          <w:szCs w:val="24"/>
        </w:rPr>
        <w:t>liničkog bolničkog centr</w:t>
      </w:r>
      <w:r w:rsidRPr="00241E61">
        <w:rPr>
          <w:rFonts w:ascii="Times New Roman" w:hAnsi="Times New Roman" w:cs="Times New Roman"/>
          <w:sz w:val="24"/>
          <w:szCs w:val="24"/>
        </w:rPr>
        <w:t>a je usmjereno prvenstveno na pružanje visoke razine zdravstvene zaštite bolesnicima, te poboljšanje uvjeta funkcioniranja razvojem pojedinih djelatnosti putem projekata financiranih od strane Europske unije.</w:t>
      </w:r>
    </w:p>
    <w:p w:rsidR="009E024C" w:rsidRDefault="00C86A06" w:rsidP="009E024C">
      <w:pPr>
        <w:spacing w:before="12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E024C" w:rsidRPr="00241E61">
        <w:rPr>
          <w:rFonts w:ascii="Times New Roman" w:hAnsi="Times New Roman" w:cs="Times New Roman"/>
          <w:sz w:val="24"/>
          <w:szCs w:val="24"/>
        </w:rPr>
        <w:t>inancijsk</w:t>
      </w:r>
      <w:r w:rsidR="00313B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 Kliničkog bolničkog centra Sestre milosrdnice izrađen je sukladno odredbama Zakona o proračunu, </w:t>
      </w:r>
      <w:r w:rsidR="00EE52B8">
        <w:rPr>
          <w:rFonts w:ascii="Times New Roman" w:hAnsi="Times New Roman" w:cs="Times New Roman"/>
          <w:sz w:val="24"/>
          <w:szCs w:val="24"/>
        </w:rPr>
        <w:t xml:space="preserve">Pravilnika o planiranju u sustavu proračuna, </w:t>
      </w:r>
      <w:r w:rsidR="009E024C" w:rsidRPr="00241E61">
        <w:rPr>
          <w:rFonts w:ascii="Times New Roman" w:hAnsi="Times New Roman" w:cs="Times New Roman"/>
          <w:sz w:val="24"/>
          <w:szCs w:val="24"/>
        </w:rPr>
        <w:t>te Uputi Ministarstva zdravstva za izradu prijedloga državnog proračuna za razdoblje 20</w:t>
      </w:r>
      <w:r w:rsidR="009E024C">
        <w:rPr>
          <w:rFonts w:ascii="Times New Roman" w:hAnsi="Times New Roman" w:cs="Times New Roman"/>
          <w:sz w:val="24"/>
          <w:szCs w:val="24"/>
        </w:rPr>
        <w:t>2</w:t>
      </w:r>
      <w:r w:rsidR="00A363FC">
        <w:rPr>
          <w:rFonts w:ascii="Times New Roman" w:hAnsi="Times New Roman" w:cs="Times New Roman"/>
          <w:sz w:val="24"/>
          <w:szCs w:val="24"/>
        </w:rPr>
        <w:t>6</w:t>
      </w:r>
      <w:r w:rsidR="009E024C" w:rsidRPr="00241E61">
        <w:rPr>
          <w:rFonts w:ascii="Times New Roman" w:hAnsi="Times New Roman" w:cs="Times New Roman"/>
          <w:sz w:val="24"/>
          <w:szCs w:val="24"/>
        </w:rPr>
        <w:t>. -</w:t>
      </w:r>
      <w:r w:rsidR="009E024C">
        <w:rPr>
          <w:rFonts w:ascii="Times New Roman" w:hAnsi="Times New Roman" w:cs="Times New Roman"/>
          <w:sz w:val="24"/>
          <w:szCs w:val="24"/>
        </w:rPr>
        <w:t xml:space="preserve"> </w:t>
      </w:r>
      <w:r w:rsidR="009E024C" w:rsidRPr="00241E61">
        <w:rPr>
          <w:rFonts w:ascii="Times New Roman" w:hAnsi="Times New Roman" w:cs="Times New Roman"/>
          <w:sz w:val="24"/>
          <w:szCs w:val="24"/>
        </w:rPr>
        <w:t>202</w:t>
      </w:r>
      <w:r w:rsidR="00A363FC">
        <w:rPr>
          <w:rFonts w:ascii="Times New Roman" w:hAnsi="Times New Roman" w:cs="Times New Roman"/>
          <w:sz w:val="24"/>
          <w:szCs w:val="24"/>
        </w:rPr>
        <w:t>8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. godine. U navedenoj Uputi su dani limiti rashoda za pojedine izvore financiranja, a plan se iskazuje na razini skupine računskog plana (druga </w:t>
      </w:r>
      <w:r w:rsidR="00A61E46">
        <w:rPr>
          <w:rFonts w:ascii="Times New Roman" w:hAnsi="Times New Roman" w:cs="Times New Roman"/>
          <w:sz w:val="24"/>
          <w:szCs w:val="24"/>
        </w:rPr>
        <w:t>razina ekonomske klasifikacije)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. Plan je iskazan po </w:t>
      </w:r>
      <w:r w:rsidR="00A363FC">
        <w:rPr>
          <w:rFonts w:ascii="Times New Roman" w:hAnsi="Times New Roman" w:cs="Times New Roman"/>
          <w:sz w:val="24"/>
          <w:szCs w:val="24"/>
        </w:rPr>
        <w:t>novčanom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 načelu s obzirom da su zdravstvene ustanove uključene u sustav Državne riznice kao korisnik treće razine.</w:t>
      </w:r>
    </w:p>
    <w:p w:rsidR="009E024C" w:rsidRDefault="009E024C" w:rsidP="009E024C">
      <w:pPr>
        <w:spacing w:before="12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93B">
        <w:rPr>
          <w:rFonts w:ascii="Times New Roman" w:hAnsi="Times New Roman" w:cs="Times New Roman"/>
          <w:sz w:val="24"/>
          <w:szCs w:val="24"/>
        </w:rPr>
        <w:t>Uk</w:t>
      </w:r>
      <w:r w:rsidR="007D7426">
        <w:rPr>
          <w:rFonts w:ascii="Times New Roman" w:hAnsi="Times New Roman" w:cs="Times New Roman"/>
          <w:sz w:val="24"/>
          <w:szCs w:val="24"/>
        </w:rPr>
        <w:t xml:space="preserve">upno planirani prihodi </w:t>
      </w:r>
      <w:r w:rsidR="007D7426" w:rsidRPr="00C927F4">
        <w:rPr>
          <w:rFonts w:ascii="Times New Roman" w:hAnsi="Times New Roman" w:cs="Times New Roman"/>
          <w:sz w:val="24"/>
          <w:szCs w:val="24"/>
        </w:rPr>
        <w:t xml:space="preserve">iznose </w:t>
      </w:r>
      <w:r w:rsidR="005A7357">
        <w:rPr>
          <w:rFonts w:ascii="Times New Roman" w:hAnsi="Times New Roman" w:cs="Times New Roman"/>
          <w:sz w:val="24"/>
          <w:szCs w:val="24"/>
        </w:rPr>
        <w:t>391.125.030</w:t>
      </w:r>
      <w:r w:rsidRPr="00C927F4">
        <w:rPr>
          <w:rFonts w:ascii="Times New Roman" w:hAnsi="Times New Roman" w:cs="Times New Roman"/>
          <w:sz w:val="24"/>
          <w:szCs w:val="24"/>
        </w:rPr>
        <w:t xml:space="preserve"> eura</w:t>
      </w:r>
      <w:r w:rsidRPr="00E2493B">
        <w:rPr>
          <w:rFonts w:ascii="Times New Roman" w:hAnsi="Times New Roman" w:cs="Times New Roman"/>
          <w:sz w:val="24"/>
          <w:szCs w:val="24"/>
        </w:rPr>
        <w:t xml:space="preserve">, dok su ukupni rashodi planirani u iznosu od </w:t>
      </w:r>
      <w:r w:rsidR="00CE1994">
        <w:rPr>
          <w:rFonts w:ascii="Times New Roman" w:hAnsi="Times New Roman" w:cs="Times New Roman"/>
          <w:sz w:val="24"/>
          <w:szCs w:val="24"/>
        </w:rPr>
        <w:t>3</w:t>
      </w:r>
      <w:r w:rsidR="005A7357">
        <w:rPr>
          <w:rFonts w:ascii="Times New Roman" w:hAnsi="Times New Roman" w:cs="Times New Roman"/>
          <w:sz w:val="24"/>
          <w:szCs w:val="24"/>
        </w:rPr>
        <w:t>91.583.447</w:t>
      </w:r>
      <w:r w:rsidRPr="00E2493B">
        <w:rPr>
          <w:rFonts w:ascii="Times New Roman" w:hAnsi="Times New Roman" w:cs="Times New Roman"/>
          <w:sz w:val="24"/>
          <w:szCs w:val="24"/>
        </w:rPr>
        <w:t xml:space="preserve"> eura. Razlika </w:t>
      </w:r>
      <w:r w:rsidRPr="00241E61">
        <w:rPr>
          <w:rFonts w:ascii="Times New Roman" w:hAnsi="Times New Roman" w:cs="Times New Roman"/>
          <w:sz w:val="24"/>
          <w:szCs w:val="24"/>
        </w:rPr>
        <w:t>je nivelirana prijenosom sredstava iz prethodne godine i prijenosom sredstava u slijedeću godinu koji se ne iskazuju kao prihodi i rashodi (naveli smo ih ispod tablice prihoda i tablice rashoda po izvorima financiranja), već su prikazani u Sažetku Računa financiranja i uravnotežuju financijski plan na način da je razlika između planiranih prihoda i rashoda svedena na 0 eura.</w:t>
      </w:r>
    </w:p>
    <w:p w:rsidR="002E4F82" w:rsidRPr="00241E61" w:rsidRDefault="002E4F82" w:rsidP="009E024C">
      <w:pPr>
        <w:spacing w:before="12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23E5A" w:rsidRDefault="00C23E5A" w:rsidP="000C5CC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E5A" w:rsidRDefault="00C23E5A" w:rsidP="000C5CC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24C" w:rsidRPr="00B72343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34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9E024C" w:rsidRPr="00D655D2" w:rsidRDefault="009E024C" w:rsidP="000C5CC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5DA"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F14A63" w:rsidRPr="00E615DA">
        <w:rPr>
          <w:rFonts w:ascii="Times New Roman" w:hAnsi="Times New Roman" w:cs="Times New Roman"/>
          <w:sz w:val="24"/>
          <w:szCs w:val="24"/>
        </w:rPr>
        <w:t xml:space="preserve">i primici </w:t>
      </w:r>
      <w:r w:rsidRPr="00E615DA">
        <w:rPr>
          <w:rFonts w:ascii="Times New Roman" w:hAnsi="Times New Roman" w:cs="Times New Roman"/>
          <w:sz w:val="24"/>
          <w:szCs w:val="24"/>
        </w:rPr>
        <w:t>za 202</w:t>
      </w:r>
      <w:r w:rsidR="00CE1994">
        <w:rPr>
          <w:rFonts w:ascii="Times New Roman" w:hAnsi="Times New Roman" w:cs="Times New Roman"/>
          <w:sz w:val="24"/>
          <w:szCs w:val="24"/>
        </w:rPr>
        <w:t>6</w:t>
      </w:r>
      <w:r w:rsidRPr="00E615DA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B73962">
        <w:rPr>
          <w:rFonts w:ascii="Times New Roman" w:hAnsi="Times New Roman" w:cs="Times New Roman"/>
          <w:sz w:val="24"/>
          <w:szCs w:val="24"/>
        </w:rPr>
        <w:t>391.125.030</w:t>
      </w:r>
      <w:r w:rsidRPr="00E615DA">
        <w:rPr>
          <w:rFonts w:ascii="Times New Roman" w:hAnsi="Times New Roman" w:cs="Times New Roman"/>
          <w:sz w:val="24"/>
          <w:szCs w:val="24"/>
        </w:rPr>
        <w:t xml:space="preserve"> eura</w:t>
      </w:r>
      <w:r w:rsidRPr="00287C1A">
        <w:rPr>
          <w:rFonts w:ascii="Times New Roman" w:hAnsi="Times New Roman" w:cs="Times New Roman"/>
          <w:sz w:val="24"/>
          <w:szCs w:val="24"/>
        </w:rPr>
        <w:t xml:space="preserve"> </w:t>
      </w:r>
      <w:r w:rsidR="00F70CF9">
        <w:rPr>
          <w:rFonts w:ascii="Times New Roman" w:hAnsi="Times New Roman" w:cs="Times New Roman"/>
          <w:sz w:val="24"/>
          <w:szCs w:val="24"/>
        </w:rPr>
        <w:t xml:space="preserve">i veći su </w:t>
      </w:r>
      <w:r w:rsidR="00CE1994">
        <w:rPr>
          <w:rFonts w:ascii="Times New Roman" w:hAnsi="Times New Roman" w:cs="Times New Roman"/>
          <w:sz w:val="24"/>
          <w:szCs w:val="24"/>
        </w:rPr>
        <w:t>1</w:t>
      </w:r>
      <w:r w:rsidR="00F96136">
        <w:rPr>
          <w:rFonts w:ascii="Times New Roman" w:hAnsi="Times New Roman" w:cs="Times New Roman"/>
          <w:sz w:val="24"/>
          <w:szCs w:val="24"/>
        </w:rPr>
        <w:t>5,</w:t>
      </w:r>
      <w:r w:rsidR="00B73962">
        <w:rPr>
          <w:rFonts w:ascii="Times New Roman" w:hAnsi="Times New Roman" w:cs="Times New Roman"/>
          <w:sz w:val="24"/>
          <w:szCs w:val="24"/>
        </w:rPr>
        <w:t>92</w:t>
      </w:r>
      <w:r w:rsidRPr="00D655D2">
        <w:rPr>
          <w:rFonts w:ascii="Times New Roman" w:hAnsi="Times New Roman" w:cs="Times New Roman"/>
          <w:sz w:val="24"/>
          <w:szCs w:val="24"/>
        </w:rPr>
        <w:t xml:space="preserve"> % u </w:t>
      </w:r>
      <w:r>
        <w:rPr>
          <w:rFonts w:ascii="Times New Roman" w:hAnsi="Times New Roman" w:cs="Times New Roman"/>
          <w:sz w:val="24"/>
          <w:szCs w:val="24"/>
        </w:rPr>
        <w:t xml:space="preserve">odnosu na </w:t>
      </w:r>
      <w:r w:rsidR="00F14A63">
        <w:rPr>
          <w:rFonts w:ascii="Times New Roman" w:hAnsi="Times New Roman" w:cs="Times New Roman"/>
          <w:sz w:val="24"/>
          <w:szCs w:val="24"/>
        </w:rPr>
        <w:t xml:space="preserve">prihode utvrđene u </w:t>
      </w:r>
      <w:r>
        <w:rPr>
          <w:rFonts w:ascii="Times New Roman" w:hAnsi="Times New Roman" w:cs="Times New Roman"/>
          <w:sz w:val="24"/>
          <w:szCs w:val="24"/>
        </w:rPr>
        <w:t>Izmjen</w:t>
      </w:r>
      <w:r w:rsidR="00F14A63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i dopun</w:t>
      </w:r>
      <w:r w:rsidR="00F14A63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financijskog plana poslovanja K</w:t>
      </w:r>
      <w:r w:rsidR="00D6066F">
        <w:rPr>
          <w:rFonts w:ascii="Times New Roman" w:hAnsi="Times New Roman" w:cs="Times New Roman"/>
          <w:sz w:val="24"/>
          <w:szCs w:val="24"/>
        </w:rPr>
        <w:t xml:space="preserve">liničkog bolničkog centra </w:t>
      </w:r>
      <w:r>
        <w:rPr>
          <w:rFonts w:ascii="Times New Roman" w:hAnsi="Times New Roman" w:cs="Times New Roman"/>
          <w:sz w:val="24"/>
          <w:szCs w:val="24"/>
        </w:rPr>
        <w:t>Sestre milosrdnice za 202</w:t>
      </w:r>
      <w:r w:rsidR="00CE1994">
        <w:rPr>
          <w:rFonts w:ascii="Times New Roman" w:hAnsi="Times New Roman" w:cs="Times New Roman"/>
          <w:sz w:val="24"/>
          <w:szCs w:val="24"/>
        </w:rPr>
        <w:t>5. godinu (Rebalans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E615DA">
        <w:rPr>
          <w:rFonts w:ascii="Times New Roman" w:hAnsi="Times New Roman" w:cs="Times New Roman"/>
          <w:sz w:val="24"/>
          <w:szCs w:val="24"/>
        </w:rPr>
        <w:t>Planirani prihodi</w:t>
      </w:r>
      <w:r w:rsidR="00E615DA" w:rsidRPr="00E615DA">
        <w:rPr>
          <w:rFonts w:ascii="Times New Roman" w:hAnsi="Times New Roman" w:cs="Times New Roman"/>
          <w:sz w:val="24"/>
          <w:szCs w:val="24"/>
        </w:rPr>
        <w:t xml:space="preserve"> i primici</w:t>
      </w:r>
      <w:r w:rsidRPr="00E615DA">
        <w:rPr>
          <w:rFonts w:ascii="Times New Roman" w:hAnsi="Times New Roman" w:cs="Times New Roman"/>
          <w:sz w:val="24"/>
          <w:szCs w:val="24"/>
        </w:rPr>
        <w:t xml:space="preserve"> za 202</w:t>
      </w:r>
      <w:r w:rsidR="00CE1994">
        <w:rPr>
          <w:rFonts w:ascii="Times New Roman" w:hAnsi="Times New Roman" w:cs="Times New Roman"/>
          <w:sz w:val="24"/>
          <w:szCs w:val="24"/>
        </w:rPr>
        <w:t>7</w:t>
      </w:r>
      <w:r w:rsidRPr="00E615D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CE1994">
        <w:rPr>
          <w:rFonts w:ascii="Times New Roman" w:hAnsi="Times New Roman" w:cs="Times New Roman"/>
          <w:sz w:val="24"/>
          <w:szCs w:val="24"/>
        </w:rPr>
        <w:t>347.461.823</w:t>
      </w:r>
      <w:r w:rsidR="00F96136">
        <w:rPr>
          <w:rFonts w:ascii="Times New Roman" w:hAnsi="Times New Roman" w:cs="Times New Roman"/>
          <w:sz w:val="24"/>
          <w:szCs w:val="24"/>
        </w:rPr>
        <w:t xml:space="preserve"> eura, te za 202</w:t>
      </w:r>
      <w:r w:rsidR="00CE1994">
        <w:rPr>
          <w:rFonts w:ascii="Times New Roman" w:hAnsi="Times New Roman" w:cs="Times New Roman"/>
          <w:sz w:val="24"/>
          <w:szCs w:val="24"/>
        </w:rPr>
        <w:t>8</w:t>
      </w:r>
      <w:r w:rsidRPr="00E615DA">
        <w:rPr>
          <w:rFonts w:ascii="Times New Roman" w:hAnsi="Times New Roman" w:cs="Times New Roman"/>
          <w:sz w:val="24"/>
          <w:szCs w:val="24"/>
        </w:rPr>
        <w:t xml:space="preserve">. godinu </w:t>
      </w:r>
      <w:r w:rsidR="00CE1994">
        <w:rPr>
          <w:rFonts w:ascii="Times New Roman" w:hAnsi="Times New Roman" w:cs="Times New Roman"/>
          <w:sz w:val="24"/>
          <w:szCs w:val="24"/>
        </w:rPr>
        <w:t>368.194.042</w:t>
      </w:r>
      <w:r w:rsidRPr="00E615DA">
        <w:rPr>
          <w:rFonts w:ascii="Times New Roman" w:hAnsi="Times New Roman" w:cs="Times New Roman"/>
          <w:sz w:val="24"/>
          <w:szCs w:val="24"/>
        </w:rPr>
        <w:t xml:space="preserve"> eura</w:t>
      </w:r>
      <w:r w:rsidRPr="00D655D2">
        <w:rPr>
          <w:rFonts w:ascii="Times New Roman" w:hAnsi="Times New Roman" w:cs="Times New Roman"/>
          <w:sz w:val="24"/>
          <w:szCs w:val="24"/>
        </w:rPr>
        <w:t>.</w:t>
      </w:r>
    </w:p>
    <w:p w:rsidR="009E024C" w:rsidRDefault="009E024C" w:rsidP="000C5CC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Najveći dio prihoda K</w:t>
      </w:r>
      <w:r>
        <w:rPr>
          <w:rFonts w:ascii="Times New Roman" w:hAnsi="Times New Roman" w:cs="Times New Roman"/>
          <w:sz w:val="24"/>
          <w:szCs w:val="24"/>
        </w:rPr>
        <w:t xml:space="preserve">linički bolnički centar </w:t>
      </w:r>
      <w:r w:rsidRPr="00241E61">
        <w:rPr>
          <w:rFonts w:ascii="Times New Roman" w:hAnsi="Times New Roman" w:cs="Times New Roman"/>
          <w:sz w:val="24"/>
          <w:szCs w:val="24"/>
        </w:rPr>
        <w:t xml:space="preserve">ostvaruje od nadležnog proračuna </w:t>
      </w:r>
      <w:r>
        <w:rPr>
          <w:rFonts w:ascii="Times New Roman" w:hAnsi="Times New Roman" w:cs="Times New Roman"/>
          <w:sz w:val="24"/>
          <w:szCs w:val="24"/>
        </w:rPr>
        <w:t>i od</w:t>
      </w:r>
      <w:r w:rsidRPr="00241E61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rvatskog zavoda za zdravstveno osiguranje</w:t>
      </w:r>
      <w:r w:rsidRPr="00241E61">
        <w:rPr>
          <w:rFonts w:ascii="Times New Roman" w:hAnsi="Times New Roman" w:cs="Times New Roman"/>
          <w:sz w:val="24"/>
          <w:szCs w:val="24"/>
        </w:rPr>
        <w:t xml:space="preserve"> temeljem ugovor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41E61">
        <w:rPr>
          <w:rFonts w:ascii="Times New Roman" w:hAnsi="Times New Roman" w:cs="Times New Roman"/>
          <w:sz w:val="24"/>
          <w:szCs w:val="24"/>
        </w:rPr>
        <w:t xml:space="preserve">nih obveza </w:t>
      </w:r>
      <w:r w:rsidRPr="006B6789">
        <w:rPr>
          <w:rFonts w:ascii="Times New Roman" w:hAnsi="Times New Roman" w:cs="Times New Roman"/>
          <w:b/>
          <w:sz w:val="24"/>
          <w:szCs w:val="24"/>
        </w:rPr>
        <w:t>(s</w:t>
      </w:r>
      <w:r w:rsidRPr="00241E61">
        <w:rPr>
          <w:rFonts w:ascii="Times New Roman" w:hAnsi="Times New Roman" w:cs="Times New Roman"/>
          <w:b/>
          <w:sz w:val="24"/>
          <w:szCs w:val="24"/>
        </w:rPr>
        <w:t>kupina prihoda 6</w:t>
      </w:r>
      <w:r w:rsidRPr="006B6789">
        <w:rPr>
          <w:rFonts w:ascii="Times New Roman" w:hAnsi="Times New Roman" w:cs="Times New Roman"/>
          <w:b/>
          <w:sz w:val="24"/>
          <w:szCs w:val="24"/>
        </w:rPr>
        <w:t>7)</w:t>
      </w:r>
      <w:r w:rsidRPr="00241E61">
        <w:rPr>
          <w:rFonts w:ascii="Times New Roman" w:hAnsi="Times New Roman" w:cs="Times New Roman"/>
          <w:sz w:val="24"/>
          <w:szCs w:val="24"/>
        </w:rPr>
        <w:t xml:space="preserve">, pa tako planirani prihodi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CE19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241E61">
        <w:rPr>
          <w:rFonts w:ascii="Times New Roman" w:hAnsi="Times New Roman" w:cs="Times New Roman"/>
          <w:sz w:val="24"/>
          <w:szCs w:val="24"/>
        </w:rPr>
        <w:t xml:space="preserve">iznose </w:t>
      </w:r>
      <w:r w:rsidR="00CE1994">
        <w:rPr>
          <w:rFonts w:ascii="Times New Roman" w:hAnsi="Times New Roman" w:cs="Times New Roman"/>
          <w:sz w:val="24"/>
          <w:szCs w:val="24"/>
        </w:rPr>
        <w:t>37</w:t>
      </w:r>
      <w:r w:rsidR="00B73962">
        <w:rPr>
          <w:rFonts w:ascii="Times New Roman" w:hAnsi="Times New Roman" w:cs="Times New Roman"/>
          <w:sz w:val="24"/>
          <w:szCs w:val="24"/>
        </w:rPr>
        <w:t>2.652.566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</w:t>
      </w:r>
      <w:r w:rsidR="00313BBD">
        <w:rPr>
          <w:rFonts w:ascii="Times New Roman" w:hAnsi="Times New Roman" w:cs="Times New Roman"/>
          <w:sz w:val="24"/>
          <w:szCs w:val="24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CE199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 </w:t>
      </w:r>
      <w:r w:rsidR="00CE1994">
        <w:rPr>
          <w:rFonts w:ascii="Times New Roman" w:hAnsi="Times New Roman" w:cs="Times New Roman"/>
          <w:sz w:val="24"/>
          <w:szCs w:val="24"/>
        </w:rPr>
        <w:t>330.151.174</w:t>
      </w:r>
      <w:r>
        <w:rPr>
          <w:rFonts w:ascii="Times New Roman" w:hAnsi="Times New Roman" w:cs="Times New Roman"/>
          <w:sz w:val="24"/>
          <w:szCs w:val="24"/>
        </w:rPr>
        <w:t xml:space="preserve"> eura, te za 202</w:t>
      </w:r>
      <w:r w:rsidR="00CE19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CE1994">
        <w:rPr>
          <w:rFonts w:ascii="Times New Roman" w:hAnsi="Times New Roman" w:cs="Times New Roman"/>
          <w:sz w:val="24"/>
          <w:szCs w:val="24"/>
        </w:rPr>
        <w:t>350.947.660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66692D" w:rsidRDefault="009E024C" w:rsidP="00BE74C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351">
        <w:rPr>
          <w:rFonts w:ascii="Times New Roman" w:hAnsi="Times New Roman" w:cs="Times New Roman"/>
          <w:sz w:val="24"/>
          <w:szCs w:val="24"/>
        </w:rPr>
        <w:t xml:space="preserve">Na </w:t>
      </w:r>
      <w:r w:rsidRPr="00241E61">
        <w:rPr>
          <w:rFonts w:ascii="Times New Roman" w:hAnsi="Times New Roman" w:cs="Times New Roman"/>
          <w:i/>
          <w:sz w:val="24"/>
          <w:szCs w:val="24"/>
        </w:rPr>
        <w:t>izvoru financiranja 11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i/>
          <w:sz w:val="24"/>
          <w:szCs w:val="24"/>
        </w:rPr>
        <w:t>Opći prihodi i primici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 je iznos od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CE1994">
        <w:rPr>
          <w:rFonts w:ascii="Times New Roman" w:hAnsi="Times New Roman" w:cs="Times New Roman"/>
          <w:sz w:val="24"/>
          <w:szCs w:val="24"/>
        </w:rPr>
        <w:t>4</w:t>
      </w:r>
      <w:r w:rsidR="008D2EB7">
        <w:rPr>
          <w:rFonts w:ascii="Times New Roman" w:hAnsi="Times New Roman" w:cs="Times New Roman"/>
          <w:sz w:val="24"/>
          <w:szCs w:val="24"/>
        </w:rPr>
        <w:t>8.000.951</w:t>
      </w:r>
      <w:r w:rsidR="00CE1994">
        <w:rPr>
          <w:rFonts w:ascii="Times New Roman" w:hAnsi="Times New Roman" w:cs="Times New Roman"/>
          <w:sz w:val="24"/>
          <w:szCs w:val="24"/>
        </w:rPr>
        <w:t xml:space="preserve"> euro</w:t>
      </w:r>
      <w:r w:rsidRPr="00241E61">
        <w:rPr>
          <w:rFonts w:ascii="Times New Roman" w:hAnsi="Times New Roman" w:cs="Times New Roman"/>
          <w:sz w:val="24"/>
          <w:szCs w:val="24"/>
        </w:rPr>
        <w:t xml:space="preserve"> za 202</w:t>
      </w:r>
      <w:r w:rsidR="00CE1994">
        <w:rPr>
          <w:rFonts w:ascii="Times New Roman" w:hAnsi="Times New Roman" w:cs="Times New Roman"/>
          <w:sz w:val="24"/>
          <w:szCs w:val="24"/>
        </w:rPr>
        <w:t>6</w:t>
      </w:r>
      <w:r w:rsidRPr="00241E61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a temeljem utvrđenog iznosa od </w:t>
      </w:r>
      <w:r w:rsidR="00CE1994" w:rsidRPr="00CB2915">
        <w:rPr>
          <w:rFonts w:ascii="Times New Roman" w:hAnsi="Times New Roman" w:cs="Times New Roman"/>
          <w:sz w:val="24"/>
          <w:szCs w:val="24"/>
        </w:rPr>
        <w:t>24.138.236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8D2EB7">
        <w:rPr>
          <w:rFonts w:ascii="Times New Roman" w:hAnsi="Times New Roman" w:cs="Times New Roman"/>
          <w:sz w:val="24"/>
          <w:szCs w:val="24"/>
        </w:rPr>
        <w:t xml:space="preserve"> te dodatnih 1.875.000 eura za MR uređaj</w:t>
      </w:r>
      <w:r w:rsidR="004B400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B4009">
        <w:rPr>
          <w:rFonts w:ascii="Times New Roman" w:hAnsi="Times New Roman" w:cs="Times New Roman"/>
          <w:sz w:val="24"/>
          <w:szCs w:val="24"/>
        </w:rPr>
        <w:t>brahiterapiju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EB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kapitaln</w:t>
      </w:r>
      <w:r w:rsidR="008D2EB7">
        <w:rPr>
          <w:rFonts w:ascii="Times New Roman" w:hAnsi="Times New Roman" w:cs="Times New Roman"/>
          <w:sz w:val="24"/>
          <w:szCs w:val="24"/>
        </w:rPr>
        <w:t>im ulaganjima</w:t>
      </w:r>
      <w:r w:rsidR="00B50C7E">
        <w:rPr>
          <w:rFonts w:ascii="Times New Roman" w:hAnsi="Times New Roman" w:cs="Times New Roman"/>
          <w:sz w:val="24"/>
          <w:szCs w:val="24"/>
        </w:rPr>
        <w:t xml:space="preserve">, </w:t>
      </w:r>
      <w:r w:rsidR="00CE1994">
        <w:rPr>
          <w:rFonts w:ascii="Times New Roman" w:hAnsi="Times New Roman" w:cs="Times New Roman"/>
          <w:sz w:val="24"/>
          <w:szCs w:val="24"/>
        </w:rPr>
        <w:t>19.337.644</w:t>
      </w:r>
      <w:r w:rsidR="00B50C7E">
        <w:rPr>
          <w:rFonts w:ascii="Times New Roman" w:hAnsi="Times New Roman" w:cs="Times New Roman"/>
          <w:sz w:val="24"/>
          <w:szCs w:val="24"/>
        </w:rPr>
        <w:t xml:space="preserve"> eura dodatnih sredstava za s</w:t>
      </w:r>
      <w:r w:rsidR="00E85B02">
        <w:rPr>
          <w:rFonts w:ascii="Times New Roman" w:hAnsi="Times New Roman" w:cs="Times New Roman"/>
          <w:sz w:val="24"/>
          <w:szCs w:val="24"/>
        </w:rPr>
        <w:t>anaciju štete od potresa</w:t>
      </w:r>
      <w:r w:rsidR="000D080E">
        <w:rPr>
          <w:rFonts w:ascii="Times New Roman" w:hAnsi="Times New Roman" w:cs="Times New Roman"/>
          <w:sz w:val="24"/>
          <w:szCs w:val="24"/>
        </w:rPr>
        <w:t>,</w:t>
      </w:r>
      <w:r w:rsidR="00C05B9B">
        <w:rPr>
          <w:rFonts w:ascii="Times New Roman" w:hAnsi="Times New Roman" w:cs="Times New Roman"/>
          <w:sz w:val="24"/>
          <w:szCs w:val="24"/>
        </w:rPr>
        <w:t xml:space="preserve"> </w:t>
      </w:r>
      <w:r w:rsidR="00CE7609">
        <w:rPr>
          <w:rFonts w:ascii="Times New Roman" w:hAnsi="Times New Roman" w:cs="Times New Roman"/>
          <w:sz w:val="24"/>
          <w:szCs w:val="24"/>
        </w:rPr>
        <w:t xml:space="preserve">2.263.210 eura za izgradnju bunkera za smještaj linearnih akceleratora, </w:t>
      </w:r>
      <w:r w:rsidR="00CE1994">
        <w:rPr>
          <w:rFonts w:ascii="Times New Roman" w:hAnsi="Times New Roman" w:cs="Times New Roman"/>
          <w:sz w:val="24"/>
          <w:szCs w:val="24"/>
        </w:rPr>
        <w:t>167.984</w:t>
      </w:r>
      <w:r w:rsidR="00B50C7E">
        <w:rPr>
          <w:rFonts w:ascii="Times New Roman" w:hAnsi="Times New Roman" w:cs="Times New Roman"/>
          <w:sz w:val="24"/>
          <w:szCs w:val="24"/>
        </w:rPr>
        <w:t xml:space="preserve"> eura </w:t>
      </w:r>
      <w:r w:rsidR="00C05B9B">
        <w:rPr>
          <w:rFonts w:ascii="Times New Roman" w:hAnsi="Times New Roman" w:cs="Times New Roman"/>
          <w:sz w:val="24"/>
          <w:szCs w:val="24"/>
        </w:rPr>
        <w:t xml:space="preserve">za provođenje preventivnih programa od kojih je Nacionalni akcijski plan za suzbijanje zloupotrebe droga u Republici Hrvatskoj dugogodišnji program, a krajem 2023. godine krenuli smo i s provođenjem Nacionalnog preventivnog programa za rano otkrivanje </w:t>
      </w:r>
      <w:proofErr w:type="spellStart"/>
      <w:r w:rsidR="00C05B9B">
        <w:rPr>
          <w:rFonts w:ascii="Times New Roman" w:hAnsi="Times New Roman" w:cs="Times New Roman"/>
          <w:sz w:val="24"/>
          <w:szCs w:val="24"/>
        </w:rPr>
        <w:t>m</w:t>
      </w:r>
      <w:r w:rsidR="00B50C7E">
        <w:rPr>
          <w:rFonts w:ascii="Times New Roman" w:hAnsi="Times New Roman" w:cs="Times New Roman"/>
          <w:sz w:val="24"/>
          <w:szCs w:val="24"/>
        </w:rPr>
        <w:t>elanoma</w:t>
      </w:r>
      <w:proofErr w:type="spellEnd"/>
      <w:r w:rsidR="00D6066F">
        <w:rPr>
          <w:rFonts w:ascii="Times New Roman" w:hAnsi="Times New Roman" w:cs="Times New Roman"/>
          <w:sz w:val="24"/>
          <w:szCs w:val="24"/>
        </w:rPr>
        <w:t>,</w:t>
      </w:r>
      <w:r w:rsidR="00CE1994">
        <w:rPr>
          <w:rFonts w:ascii="Times New Roman" w:hAnsi="Times New Roman" w:cs="Times New Roman"/>
          <w:sz w:val="24"/>
          <w:szCs w:val="24"/>
        </w:rPr>
        <w:t xml:space="preserve"> te 218.877 eura </w:t>
      </w:r>
      <w:r w:rsidR="002E4F82">
        <w:rPr>
          <w:rFonts w:ascii="Times New Roman" w:hAnsi="Times New Roman" w:cs="Times New Roman"/>
          <w:sz w:val="24"/>
          <w:szCs w:val="24"/>
        </w:rPr>
        <w:t>za</w:t>
      </w:r>
      <w:r w:rsidR="00CE1994">
        <w:rPr>
          <w:rFonts w:ascii="Times New Roman" w:hAnsi="Times New Roman" w:cs="Times New Roman"/>
          <w:sz w:val="24"/>
          <w:szCs w:val="24"/>
        </w:rPr>
        <w:t xml:space="preserve"> </w:t>
      </w:r>
      <w:r w:rsidR="00BE74CA">
        <w:rPr>
          <w:rFonts w:ascii="Times New Roman" w:hAnsi="Times New Roman" w:cs="Times New Roman"/>
          <w:sz w:val="24"/>
          <w:szCs w:val="24"/>
        </w:rPr>
        <w:t>premij</w:t>
      </w:r>
      <w:r w:rsidR="002E4F82">
        <w:rPr>
          <w:rFonts w:ascii="Times New Roman" w:hAnsi="Times New Roman" w:cs="Times New Roman"/>
          <w:sz w:val="24"/>
          <w:szCs w:val="24"/>
        </w:rPr>
        <w:t>e osiguranja</w:t>
      </w:r>
      <w:r w:rsidR="00BE74CA">
        <w:rPr>
          <w:rFonts w:ascii="Times New Roman" w:hAnsi="Times New Roman" w:cs="Times New Roman"/>
          <w:sz w:val="24"/>
          <w:szCs w:val="24"/>
        </w:rPr>
        <w:t xml:space="preserve"> koj</w:t>
      </w:r>
      <w:r w:rsidR="002E4F82">
        <w:rPr>
          <w:rFonts w:ascii="Times New Roman" w:hAnsi="Times New Roman" w:cs="Times New Roman"/>
          <w:sz w:val="24"/>
          <w:szCs w:val="24"/>
        </w:rPr>
        <w:t>e</w:t>
      </w:r>
      <w:r w:rsidR="00BE74CA">
        <w:rPr>
          <w:rFonts w:ascii="Times New Roman" w:hAnsi="Times New Roman" w:cs="Times New Roman"/>
          <w:sz w:val="24"/>
          <w:szCs w:val="24"/>
        </w:rPr>
        <w:t xml:space="preserve"> se nakon isteka sklopljenih ugovora</w:t>
      </w:r>
      <w:r w:rsidR="004B4009">
        <w:rPr>
          <w:rFonts w:ascii="Times New Roman" w:hAnsi="Times New Roman" w:cs="Times New Roman"/>
          <w:sz w:val="24"/>
          <w:szCs w:val="24"/>
        </w:rPr>
        <w:t xml:space="preserve"> s osiguravajućom kućom</w:t>
      </w:r>
      <w:r w:rsidR="00BE74CA">
        <w:rPr>
          <w:rFonts w:ascii="Times New Roman" w:hAnsi="Times New Roman" w:cs="Times New Roman"/>
          <w:sz w:val="24"/>
          <w:szCs w:val="24"/>
        </w:rPr>
        <w:t xml:space="preserve"> u kolovozu 2026. godine počinju financirati iz izvora financiranja 11</w:t>
      </w:r>
      <w:r w:rsidR="002E4F82">
        <w:rPr>
          <w:rFonts w:ascii="Times New Roman" w:hAnsi="Times New Roman" w:cs="Times New Roman"/>
          <w:sz w:val="24"/>
          <w:szCs w:val="24"/>
        </w:rPr>
        <w:t xml:space="preserve"> temeljem zajedničke nabave koju provodi Ministarstvo zdravstva</w:t>
      </w:r>
      <w:r w:rsidR="00BE74CA">
        <w:rPr>
          <w:rFonts w:ascii="Times New Roman" w:hAnsi="Times New Roman" w:cs="Times New Roman"/>
          <w:sz w:val="24"/>
          <w:szCs w:val="24"/>
        </w:rPr>
        <w:t>.</w:t>
      </w:r>
      <w:r w:rsidR="00C05B9B">
        <w:rPr>
          <w:rFonts w:ascii="Times New Roman" w:hAnsi="Times New Roman" w:cs="Times New Roman"/>
          <w:sz w:val="24"/>
          <w:szCs w:val="24"/>
        </w:rPr>
        <w:t xml:space="preserve"> </w:t>
      </w:r>
      <w:r w:rsidR="00B50C7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202</w:t>
      </w:r>
      <w:r w:rsidR="00BE74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5D2062">
        <w:rPr>
          <w:rFonts w:ascii="Times New Roman" w:hAnsi="Times New Roman" w:cs="Times New Roman"/>
          <w:sz w:val="24"/>
          <w:szCs w:val="24"/>
        </w:rPr>
        <w:t>utvrđen</w:t>
      </w:r>
      <w:r>
        <w:rPr>
          <w:rFonts w:ascii="Times New Roman" w:hAnsi="Times New Roman" w:cs="Times New Roman"/>
          <w:sz w:val="24"/>
          <w:szCs w:val="24"/>
        </w:rPr>
        <w:t xml:space="preserve"> je iznos od </w:t>
      </w:r>
      <w:r w:rsidR="00CE1994">
        <w:rPr>
          <w:rFonts w:ascii="Times New Roman" w:hAnsi="Times New Roman" w:cs="Times New Roman"/>
          <w:sz w:val="24"/>
          <w:szCs w:val="24"/>
        </w:rPr>
        <w:t>9.487.288</w:t>
      </w:r>
      <w:r w:rsidR="00BE74CA">
        <w:rPr>
          <w:rFonts w:ascii="Times New Roman" w:hAnsi="Times New Roman" w:cs="Times New Roman"/>
          <w:sz w:val="24"/>
          <w:szCs w:val="24"/>
        </w:rPr>
        <w:t xml:space="preserve"> </w:t>
      </w:r>
      <w:r w:rsidR="00D6066F">
        <w:rPr>
          <w:rFonts w:ascii="Times New Roman" w:hAnsi="Times New Roman" w:cs="Times New Roman"/>
          <w:sz w:val="24"/>
          <w:szCs w:val="24"/>
        </w:rPr>
        <w:t xml:space="preserve">eura, </w:t>
      </w:r>
      <w:r w:rsidR="00BE74CA">
        <w:rPr>
          <w:rFonts w:ascii="Times New Roman" w:hAnsi="Times New Roman" w:cs="Times New Roman"/>
          <w:sz w:val="24"/>
          <w:szCs w:val="24"/>
        </w:rPr>
        <w:t xml:space="preserve">te za 2028. godinu iznos od 13.596.304 eura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2E4685">
        <w:rPr>
          <w:rFonts w:ascii="Times New Roman" w:hAnsi="Times New Roman" w:cs="Times New Roman"/>
          <w:sz w:val="24"/>
          <w:szCs w:val="24"/>
        </w:rPr>
        <w:t>kapitalna</w:t>
      </w:r>
      <w:r w:rsidR="0066692D">
        <w:rPr>
          <w:rFonts w:ascii="Times New Roman" w:hAnsi="Times New Roman" w:cs="Times New Roman"/>
          <w:sz w:val="24"/>
          <w:szCs w:val="24"/>
        </w:rPr>
        <w:t xml:space="preserve"> ulaganja, preventivne programe te premij</w:t>
      </w:r>
      <w:r w:rsidR="000A7E64">
        <w:rPr>
          <w:rFonts w:ascii="Times New Roman" w:hAnsi="Times New Roman" w:cs="Times New Roman"/>
          <w:sz w:val="24"/>
          <w:szCs w:val="24"/>
        </w:rPr>
        <w:t xml:space="preserve">e </w:t>
      </w:r>
      <w:r w:rsidR="0066692D">
        <w:rPr>
          <w:rFonts w:ascii="Times New Roman" w:hAnsi="Times New Roman" w:cs="Times New Roman"/>
          <w:sz w:val="24"/>
          <w:szCs w:val="24"/>
        </w:rPr>
        <w:t>osiguranj</w:t>
      </w:r>
      <w:r w:rsidR="004B4009">
        <w:rPr>
          <w:rFonts w:ascii="Times New Roman" w:hAnsi="Times New Roman" w:cs="Times New Roman"/>
          <w:sz w:val="24"/>
          <w:szCs w:val="24"/>
        </w:rPr>
        <w:t>a</w:t>
      </w:r>
      <w:r w:rsidR="0066692D">
        <w:rPr>
          <w:rFonts w:ascii="Times New Roman" w:hAnsi="Times New Roman" w:cs="Times New Roman"/>
          <w:sz w:val="24"/>
          <w:szCs w:val="24"/>
        </w:rPr>
        <w:t>.</w:t>
      </w:r>
    </w:p>
    <w:p w:rsidR="009E024C" w:rsidRDefault="009E024C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351">
        <w:rPr>
          <w:rFonts w:ascii="Times New Roman" w:hAnsi="Times New Roman" w:cs="Times New Roman"/>
          <w:sz w:val="24"/>
          <w:szCs w:val="24"/>
        </w:rPr>
        <w:t>Na</w:t>
      </w:r>
      <w:r w:rsidRPr="004D69E4">
        <w:rPr>
          <w:rFonts w:ascii="Times New Roman" w:hAnsi="Times New Roman" w:cs="Times New Roman"/>
          <w:i/>
          <w:sz w:val="24"/>
          <w:szCs w:val="24"/>
        </w:rPr>
        <w:t xml:space="preserve"> izvoru financiranja 43 Ostali prihodi za posebne namjene</w:t>
      </w:r>
      <w:r w:rsidRPr="004D6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Pr="004D69E4">
        <w:rPr>
          <w:rFonts w:ascii="Times New Roman" w:hAnsi="Times New Roman" w:cs="Times New Roman"/>
          <w:sz w:val="24"/>
          <w:szCs w:val="24"/>
        </w:rPr>
        <w:t xml:space="preserve">ni iznos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BE74CA">
        <w:rPr>
          <w:rFonts w:ascii="Times New Roman" w:hAnsi="Times New Roman" w:cs="Times New Roman"/>
          <w:sz w:val="24"/>
          <w:szCs w:val="24"/>
        </w:rPr>
        <w:t>305.750.258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Pr="004D69E4">
        <w:rPr>
          <w:rFonts w:ascii="Times New Roman" w:hAnsi="Times New Roman" w:cs="Times New Roman"/>
          <w:sz w:val="24"/>
          <w:szCs w:val="24"/>
        </w:rPr>
        <w:t>odnosi se na prihode od H</w:t>
      </w:r>
      <w:r w:rsidR="00D6066F">
        <w:rPr>
          <w:rFonts w:ascii="Times New Roman" w:hAnsi="Times New Roman" w:cs="Times New Roman"/>
          <w:sz w:val="24"/>
          <w:szCs w:val="24"/>
        </w:rPr>
        <w:t>rvatskog zavoda za zdravstveno osiguranje</w:t>
      </w:r>
      <w:r w:rsidRPr="004D69E4">
        <w:rPr>
          <w:rFonts w:ascii="Times New Roman" w:hAnsi="Times New Roman" w:cs="Times New Roman"/>
          <w:sz w:val="24"/>
          <w:szCs w:val="24"/>
        </w:rPr>
        <w:t xml:space="preserve"> za ugovorenu zdravstvenu zaštitu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BE74CA">
        <w:rPr>
          <w:rFonts w:ascii="Times New Roman" w:hAnsi="Times New Roman" w:cs="Times New Roman"/>
          <w:sz w:val="24"/>
          <w:szCs w:val="24"/>
        </w:rPr>
        <w:t>6</w:t>
      </w:r>
      <w:r w:rsidR="00A8298E">
        <w:rPr>
          <w:rFonts w:ascii="Times New Roman" w:hAnsi="Times New Roman" w:cs="Times New Roman"/>
          <w:sz w:val="24"/>
          <w:szCs w:val="24"/>
        </w:rPr>
        <w:t>. godini, dok je za 202</w:t>
      </w:r>
      <w:r w:rsidR="00BE74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planirano </w:t>
      </w:r>
      <w:r w:rsidR="00BE74CA">
        <w:rPr>
          <w:rFonts w:ascii="Times New Roman" w:hAnsi="Times New Roman" w:cs="Times New Roman"/>
          <w:sz w:val="24"/>
          <w:szCs w:val="24"/>
        </w:rPr>
        <w:t>320.663.886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B50C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za 202</w:t>
      </w:r>
      <w:r w:rsidR="00BE74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BE74CA">
        <w:rPr>
          <w:rFonts w:ascii="Times New Roman" w:hAnsi="Times New Roman" w:cs="Times New Roman"/>
          <w:sz w:val="24"/>
          <w:szCs w:val="24"/>
        </w:rPr>
        <w:t>337.351.356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413072" w:rsidRDefault="002B071D" w:rsidP="002B071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101CC">
        <w:rPr>
          <w:rFonts w:ascii="Times New Roman" w:hAnsi="Times New Roman" w:cs="Times New Roman"/>
          <w:sz w:val="24"/>
          <w:szCs w:val="24"/>
        </w:rPr>
        <w:t xml:space="preserve">a </w:t>
      </w:r>
      <w:r w:rsidR="00C23E5A">
        <w:rPr>
          <w:rFonts w:ascii="Times New Roman" w:hAnsi="Times New Roman" w:cs="Times New Roman"/>
          <w:i/>
          <w:sz w:val="24"/>
          <w:szCs w:val="24"/>
        </w:rPr>
        <w:t xml:space="preserve">izvoru financiranja 58100 </w:t>
      </w:r>
      <w:r w:rsidR="00C101CC" w:rsidRPr="00D65766">
        <w:rPr>
          <w:rFonts w:ascii="Times New Roman" w:hAnsi="Times New Roman" w:cs="Times New Roman"/>
          <w:i/>
          <w:sz w:val="24"/>
          <w:szCs w:val="24"/>
        </w:rPr>
        <w:t>Mehanizam za oporavak i otpornost</w:t>
      </w:r>
      <w:r w:rsidR="00591482">
        <w:rPr>
          <w:rFonts w:ascii="Times New Roman" w:hAnsi="Times New Roman" w:cs="Times New Roman"/>
          <w:i/>
          <w:sz w:val="24"/>
          <w:szCs w:val="24"/>
        </w:rPr>
        <w:t xml:space="preserve"> – bespovratna sredstva</w:t>
      </w:r>
      <w:r w:rsidR="00C101CC">
        <w:rPr>
          <w:rFonts w:ascii="Times New Roman" w:hAnsi="Times New Roman" w:cs="Times New Roman"/>
          <w:sz w:val="24"/>
          <w:szCs w:val="24"/>
        </w:rPr>
        <w:t xml:space="preserve"> </w:t>
      </w:r>
      <w:r w:rsidR="00C23E5A" w:rsidRPr="00C23E5A">
        <w:rPr>
          <w:rFonts w:ascii="Times New Roman" w:hAnsi="Times New Roman" w:cs="Times New Roman"/>
          <w:i/>
          <w:sz w:val="24"/>
          <w:szCs w:val="24"/>
        </w:rPr>
        <w:t>– raspoloživ predujam ili unaprijed naplaćen prihod</w:t>
      </w:r>
      <w:r w:rsidR="00C23E5A">
        <w:rPr>
          <w:rFonts w:ascii="Times New Roman" w:hAnsi="Times New Roman" w:cs="Times New Roman"/>
          <w:sz w:val="24"/>
          <w:szCs w:val="24"/>
        </w:rPr>
        <w:t xml:space="preserve"> </w:t>
      </w:r>
      <w:r w:rsidR="00C101CC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101CC">
        <w:rPr>
          <w:rFonts w:ascii="Times New Roman" w:hAnsi="Times New Roman" w:cs="Times New Roman"/>
          <w:sz w:val="24"/>
          <w:szCs w:val="24"/>
        </w:rPr>
        <w:t>. godinu planira</w:t>
      </w:r>
      <w:r w:rsidR="00D65766">
        <w:rPr>
          <w:rFonts w:ascii="Times New Roman" w:hAnsi="Times New Roman" w:cs="Times New Roman"/>
          <w:sz w:val="24"/>
          <w:szCs w:val="24"/>
        </w:rPr>
        <w:t>n je iznos od</w:t>
      </w:r>
      <w:r w:rsidR="00C101CC">
        <w:rPr>
          <w:rFonts w:ascii="Times New Roman" w:hAnsi="Times New Roman" w:cs="Times New Roman"/>
          <w:sz w:val="24"/>
          <w:szCs w:val="24"/>
        </w:rPr>
        <w:t xml:space="preserve"> </w:t>
      </w:r>
      <w:r w:rsidR="001B7301">
        <w:rPr>
          <w:rFonts w:ascii="Times New Roman" w:hAnsi="Times New Roman" w:cs="Times New Roman"/>
          <w:sz w:val="24"/>
          <w:szCs w:val="24"/>
        </w:rPr>
        <w:t>6.972.099 eura od kojih se 92,43</w:t>
      </w:r>
      <w:r w:rsidR="00C101CC">
        <w:rPr>
          <w:rFonts w:ascii="Times New Roman" w:hAnsi="Times New Roman" w:cs="Times New Roman"/>
          <w:sz w:val="24"/>
          <w:szCs w:val="24"/>
        </w:rPr>
        <w:t xml:space="preserve"> % odnosi na prihode za izgradnju bunkera za linearne akceleratore</w:t>
      </w:r>
      <w:r w:rsidR="00D65766">
        <w:rPr>
          <w:rFonts w:ascii="Times New Roman" w:hAnsi="Times New Roman" w:cs="Times New Roman"/>
          <w:sz w:val="24"/>
          <w:szCs w:val="24"/>
        </w:rPr>
        <w:t>,</w:t>
      </w:r>
      <w:r w:rsidR="001B7301">
        <w:rPr>
          <w:rFonts w:ascii="Times New Roman" w:hAnsi="Times New Roman" w:cs="Times New Roman"/>
          <w:sz w:val="24"/>
          <w:szCs w:val="24"/>
        </w:rPr>
        <w:t xml:space="preserve"> a 7,57</w:t>
      </w:r>
      <w:r w:rsidR="00CB2915">
        <w:rPr>
          <w:rFonts w:ascii="Times New Roman" w:hAnsi="Times New Roman" w:cs="Times New Roman"/>
          <w:sz w:val="24"/>
          <w:szCs w:val="24"/>
        </w:rPr>
        <w:t xml:space="preserve"> </w:t>
      </w:r>
      <w:r w:rsidR="00C101CC">
        <w:rPr>
          <w:rFonts w:ascii="Times New Roman" w:hAnsi="Times New Roman" w:cs="Times New Roman"/>
          <w:sz w:val="24"/>
          <w:szCs w:val="24"/>
        </w:rPr>
        <w:t xml:space="preserve">% na projekt Formiranje </w:t>
      </w:r>
      <w:proofErr w:type="spellStart"/>
      <w:r w:rsidR="00C101CC">
        <w:rPr>
          <w:rFonts w:ascii="Times New Roman" w:hAnsi="Times New Roman" w:cs="Times New Roman"/>
          <w:sz w:val="24"/>
          <w:szCs w:val="24"/>
        </w:rPr>
        <w:t>biobaze</w:t>
      </w:r>
      <w:proofErr w:type="spellEnd"/>
      <w:r w:rsidR="00C101CC">
        <w:rPr>
          <w:rFonts w:ascii="Times New Roman" w:hAnsi="Times New Roman" w:cs="Times New Roman"/>
          <w:sz w:val="24"/>
          <w:szCs w:val="24"/>
        </w:rPr>
        <w:t xml:space="preserve"> i analiza uzoraka očne vodice/seruma </w:t>
      </w:r>
      <w:proofErr w:type="spellStart"/>
      <w:r w:rsidR="00C101CC">
        <w:rPr>
          <w:rFonts w:ascii="Times New Roman" w:hAnsi="Times New Roman" w:cs="Times New Roman"/>
          <w:sz w:val="24"/>
          <w:szCs w:val="24"/>
        </w:rPr>
        <w:t>Ramanovom</w:t>
      </w:r>
      <w:proofErr w:type="spellEnd"/>
      <w:r w:rsidR="00C101CC">
        <w:rPr>
          <w:rFonts w:ascii="Times New Roman" w:hAnsi="Times New Roman" w:cs="Times New Roman"/>
          <w:sz w:val="24"/>
          <w:szCs w:val="24"/>
        </w:rPr>
        <w:t xml:space="preserve"> spektroskopijom i plinskom </w:t>
      </w:r>
      <w:proofErr w:type="spellStart"/>
      <w:r w:rsidR="00C101CC">
        <w:rPr>
          <w:rFonts w:ascii="Times New Roman" w:hAnsi="Times New Roman" w:cs="Times New Roman"/>
          <w:sz w:val="24"/>
          <w:szCs w:val="24"/>
        </w:rPr>
        <w:t>kromatografijom</w:t>
      </w:r>
      <w:proofErr w:type="spellEnd"/>
      <w:r w:rsidR="00C101CC">
        <w:rPr>
          <w:rFonts w:ascii="Times New Roman" w:hAnsi="Times New Roman" w:cs="Times New Roman"/>
          <w:sz w:val="24"/>
          <w:szCs w:val="24"/>
        </w:rPr>
        <w:t xml:space="preserve"> kod vodećih očnih bolesti.</w:t>
      </w:r>
    </w:p>
    <w:p w:rsidR="00C07CBE" w:rsidRDefault="00C07CBE" w:rsidP="000C5CC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planirana na </w:t>
      </w:r>
      <w:r w:rsidRPr="00183C44">
        <w:rPr>
          <w:rFonts w:ascii="Times New Roman" w:hAnsi="Times New Roman" w:cs="Times New Roman"/>
          <w:i/>
          <w:sz w:val="24"/>
          <w:szCs w:val="24"/>
        </w:rPr>
        <w:t>izvoru financiranja 815</w:t>
      </w:r>
      <w:r w:rsidR="00990A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277B">
        <w:rPr>
          <w:rFonts w:ascii="Times New Roman" w:hAnsi="Times New Roman" w:cs="Times New Roman"/>
          <w:i/>
          <w:sz w:val="24"/>
          <w:szCs w:val="24"/>
        </w:rPr>
        <w:t>Mehanizam za oporavak i otpornost</w:t>
      </w:r>
      <w:r w:rsidR="00F92A9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183C44">
        <w:rPr>
          <w:rFonts w:ascii="Times New Roman" w:hAnsi="Times New Roman" w:cs="Times New Roman"/>
          <w:i/>
          <w:sz w:val="24"/>
          <w:szCs w:val="24"/>
        </w:rPr>
        <w:t>NPOO</w:t>
      </w:r>
      <w:r w:rsidR="00F92A97">
        <w:rPr>
          <w:rFonts w:ascii="Times New Roman" w:hAnsi="Times New Roman" w:cs="Times New Roman"/>
          <w:i/>
          <w:sz w:val="24"/>
          <w:szCs w:val="24"/>
        </w:rPr>
        <w:t>-zajam)</w:t>
      </w:r>
      <w:r w:rsidR="00F92A97">
        <w:rPr>
          <w:rFonts w:ascii="Times New Roman" w:hAnsi="Times New Roman" w:cs="Times New Roman"/>
          <w:sz w:val="24"/>
          <w:szCs w:val="24"/>
        </w:rPr>
        <w:t xml:space="preserve">  namijenjena su za obnovu </w:t>
      </w:r>
      <w:r>
        <w:rPr>
          <w:rFonts w:ascii="Times New Roman" w:hAnsi="Times New Roman" w:cs="Times New Roman"/>
          <w:sz w:val="24"/>
          <w:szCs w:val="24"/>
        </w:rPr>
        <w:t>zgrada oštećenih</w:t>
      </w:r>
      <w:r w:rsidR="00C101CC">
        <w:rPr>
          <w:rFonts w:ascii="Times New Roman" w:hAnsi="Times New Roman" w:cs="Times New Roman"/>
          <w:sz w:val="24"/>
          <w:szCs w:val="24"/>
        </w:rPr>
        <w:t xml:space="preserve"> u potresu na </w:t>
      </w:r>
      <w:r w:rsidR="00F92A97">
        <w:rPr>
          <w:rFonts w:ascii="Times New Roman" w:hAnsi="Times New Roman" w:cs="Times New Roman"/>
          <w:sz w:val="24"/>
          <w:szCs w:val="24"/>
        </w:rPr>
        <w:t>dvije</w:t>
      </w:r>
      <w:r w:rsidR="00C101CC">
        <w:rPr>
          <w:rFonts w:ascii="Times New Roman" w:hAnsi="Times New Roman" w:cs="Times New Roman"/>
          <w:sz w:val="24"/>
          <w:szCs w:val="24"/>
        </w:rPr>
        <w:t xml:space="preserve"> lokacije</w:t>
      </w:r>
      <w:r w:rsidR="00F92A97">
        <w:rPr>
          <w:rFonts w:ascii="Times New Roman" w:hAnsi="Times New Roman" w:cs="Times New Roman"/>
          <w:sz w:val="24"/>
          <w:szCs w:val="24"/>
        </w:rPr>
        <w:t xml:space="preserve"> (Vinogradska i </w:t>
      </w:r>
      <w:proofErr w:type="spellStart"/>
      <w:r w:rsidR="00157BB5">
        <w:rPr>
          <w:rFonts w:ascii="Times New Roman" w:hAnsi="Times New Roman" w:cs="Times New Roman"/>
          <w:sz w:val="24"/>
          <w:szCs w:val="24"/>
        </w:rPr>
        <w:t>Draškovićeva</w:t>
      </w:r>
      <w:proofErr w:type="spellEnd"/>
      <w:r w:rsidR="00157BB5">
        <w:rPr>
          <w:rFonts w:ascii="Times New Roman" w:hAnsi="Times New Roman" w:cs="Times New Roman"/>
          <w:sz w:val="24"/>
          <w:szCs w:val="24"/>
        </w:rPr>
        <w:t>)</w:t>
      </w:r>
      <w:r w:rsidR="00C101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F92A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277B">
        <w:rPr>
          <w:rFonts w:ascii="Times New Roman" w:hAnsi="Times New Roman" w:cs="Times New Roman"/>
          <w:sz w:val="24"/>
          <w:szCs w:val="24"/>
        </w:rPr>
        <w:t xml:space="preserve"> </w:t>
      </w:r>
      <w:r w:rsidR="00002A8B">
        <w:rPr>
          <w:rFonts w:ascii="Times New Roman" w:hAnsi="Times New Roman" w:cs="Times New Roman"/>
          <w:sz w:val="24"/>
          <w:szCs w:val="24"/>
        </w:rPr>
        <w:t>godinu</w:t>
      </w:r>
      <w:r w:rsidR="00F92A97">
        <w:rPr>
          <w:rFonts w:ascii="Times New Roman" w:hAnsi="Times New Roman" w:cs="Times New Roman"/>
          <w:sz w:val="24"/>
          <w:szCs w:val="24"/>
        </w:rPr>
        <w:t xml:space="preserve">, ujedno i završnu godinu provedbe </w:t>
      </w:r>
      <w:r w:rsidR="0066692D">
        <w:rPr>
          <w:rFonts w:ascii="Times New Roman" w:hAnsi="Times New Roman" w:cs="Times New Roman"/>
          <w:sz w:val="24"/>
          <w:szCs w:val="24"/>
        </w:rPr>
        <w:t>sanacije štete od potresa</w:t>
      </w:r>
      <w:r w:rsidR="00F92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utvrđen je iznos od </w:t>
      </w:r>
      <w:r w:rsidR="00F92A97">
        <w:rPr>
          <w:rFonts w:ascii="Times New Roman" w:hAnsi="Times New Roman" w:cs="Times New Roman"/>
          <w:sz w:val="24"/>
          <w:szCs w:val="24"/>
        </w:rPr>
        <w:t>11.929.258</w:t>
      </w:r>
      <w:r>
        <w:rPr>
          <w:rFonts w:ascii="Times New Roman" w:hAnsi="Times New Roman" w:cs="Times New Roman"/>
          <w:sz w:val="24"/>
          <w:szCs w:val="24"/>
        </w:rPr>
        <w:t xml:space="preserve"> eura i najvećim se dijelom odnosi na građevinske radove. </w:t>
      </w:r>
    </w:p>
    <w:p w:rsidR="007A4DDE" w:rsidRDefault="0028338E" w:rsidP="00F92A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Na </w:t>
      </w:r>
      <w:r w:rsidRPr="00241E61">
        <w:rPr>
          <w:rFonts w:ascii="Times New Roman" w:hAnsi="Times New Roman" w:cs="Times New Roman"/>
          <w:b/>
          <w:sz w:val="24"/>
          <w:szCs w:val="24"/>
        </w:rPr>
        <w:t>skupini prihoda 65</w:t>
      </w:r>
      <w:r w:rsidRPr="00241E61">
        <w:rPr>
          <w:rFonts w:ascii="Times New Roman" w:hAnsi="Times New Roman" w:cs="Times New Roman"/>
          <w:sz w:val="24"/>
          <w:szCs w:val="24"/>
        </w:rPr>
        <w:t xml:space="preserve"> Prihodi od upravnih i administrativnih pristojbi, pristojbi po posebnim propisima i naknada </w:t>
      </w:r>
      <w:r w:rsidRPr="00241E61">
        <w:rPr>
          <w:rFonts w:ascii="Times New Roman" w:hAnsi="Times New Roman" w:cs="Times New Roman"/>
          <w:i/>
          <w:sz w:val="24"/>
          <w:szCs w:val="24"/>
        </w:rPr>
        <w:t>na izvoru financiranja 43</w:t>
      </w:r>
      <w:r w:rsidRPr="00241E61">
        <w:rPr>
          <w:rFonts w:ascii="Times New Roman" w:hAnsi="Times New Roman" w:cs="Times New Roman"/>
          <w:sz w:val="24"/>
          <w:szCs w:val="24"/>
        </w:rPr>
        <w:t xml:space="preserve"> planiran je prihod od participacije, dopunskog osiguranja osiguranika H</w:t>
      </w:r>
      <w:r w:rsidR="00CB2915">
        <w:rPr>
          <w:rFonts w:ascii="Times New Roman" w:hAnsi="Times New Roman" w:cs="Times New Roman"/>
          <w:sz w:val="24"/>
          <w:szCs w:val="24"/>
        </w:rPr>
        <w:t>rvatskog zavoda za zdravstveno osiguranje</w:t>
      </w:r>
      <w:r w:rsidRPr="00241E61">
        <w:rPr>
          <w:rFonts w:ascii="Times New Roman" w:hAnsi="Times New Roman" w:cs="Times New Roman"/>
          <w:sz w:val="24"/>
          <w:szCs w:val="24"/>
        </w:rPr>
        <w:t xml:space="preserve"> i dopunskog osiguranja osiguranika drugih osiguravajućih kuća, naplaćenih šteta i sl. u iznosu od </w:t>
      </w:r>
      <w:r w:rsidR="00F92A97">
        <w:rPr>
          <w:rFonts w:ascii="Times New Roman" w:hAnsi="Times New Roman" w:cs="Times New Roman"/>
          <w:sz w:val="24"/>
          <w:szCs w:val="24"/>
        </w:rPr>
        <w:t>15.000.000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</w:t>
      </w:r>
      <w:r w:rsidR="009A6778">
        <w:rPr>
          <w:rFonts w:ascii="Times New Roman" w:hAnsi="Times New Roman" w:cs="Times New Roman"/>
          <w:sz w:val="24"/>
          <w:szCs w:val="24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Pr="00241E61">
        <w:rPr>
          <w:rFonts w:ascii="Times New Roman" w:hAnsi="Times New Roman" w:cs="Times New Roman"/>
          <w:sz w:val="24"/>
          <w:szCs w:val="24"/>
        </w:rPr>
        <w:t xml:space="preserve"> izvršenj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41E61">
        <w:rPr>
          <w:rFonts w:ascii="Times New Roman" w:hAnsi="Times New Roman" w:cs="Times New Roman"/>
          <w:sz w:val="24"/>
          <w:szCs w:val="24"/>
        </w:rPr>
        <w:t xml:space="preserve"> u tekućem razdoblju svedeno na </w:t>
      </w:r>
      <w:r>
        <w:rPr>
          <w:rFonts w:ascii="Times New Roman" w:hAnsi="Times New Roman" w:cs="Times New Roman"/>
          <w:sz w:val="24"/>
          <w:szCs w:val="24"/>
        </w:rPr>
        <w:t>jednogodišnje razdoblje</w:t>
      </w:r>
      <w:r w:rsidR="00F92A97">
        <w:rPr>
          <w:rFonts w:ascii="Times New Roman" w:hAnsi="Times New Roman" w:cs="Times New Roman"/>
          <w:sz w:val="24"/>
          <w:szCs w:val="24"/>
        </w:rPr>
        <w:t>, za sve tri planske godine.</w:t>
      </w:r>
    </w:p>
    <w:p w:rsidR="009C3454" w:rsidRDefault="009C3454" w:rsidP="00F92A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78" w:rsidRDefault="009A6778" w:rsidP="001960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lastRenderedPageBreak/>
        <w:t>Prihodi od prodaje proizvoda i robe te pruženih usluga i prihodi od donacija</w:t>
      </w:r>
      <w:r w:rsidR="00C23E5A">
        <w:rPr>
          <w:rFonts w:ascii="Times New Roman" w:hAnsi="Times New Roman" w:cs="Times New Roman"/>
          <w:sz w:val="24"/>
          <w:szCs w:val="24"/>
        </w:rPr>
        <w:t xml:space="preserve"> te povrati po protestiranim jamstvima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520E8F">
        <w:rPr>
          <w:rFonts w:ascii="Times New Roman" w:hAnsi="Times New Roman" w:cs="Times New Roman"/>
          <w:b/>
          <w:sz w:val="24"/>
          <w:szCs w:val="24"/>
        </w:rPr>
        <w:t>(skupina</w:t>
      </w:r>
      <w:r w:rsidRPr="00241E61">
        <w:rPr>
          <w:rFonts w:ascii="Times New Roman" w:hAnsi="Times New Roman" w:cs="Times New Roman"/>
          <w:b/>
          <w:sz w:val="24"/>
          <w:szCs w:val="24"/>
        </w:rPr>
        <w:t xml:space="preserve"> prihoda 66</w:t>
      </w:r>
      <w:r w:rsidRPr="00520E8F">
        <w:rPr>
          <w:rFonts w:ascii="Times New Roman" w:hAnsi="Times New Roman" w:cs="Times New Roman"/>
          <w:b/>
          <w:sz w:val="24"/>
          <w:szCs w:val="24"/>
        </w:rPr>
        <w:t>)</w:t>
      </w:r>
      <w:r w:rsidRPr="00241E61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F92A97">
        <w:rPr>
          <w:rFonts w:ascii="Times New Roman" w:hAnsi="Times New Roman" w:cs="Times New Roman"/>
          <w:sz w:val="24"/>
          <w:szCs w:val="24"/>
        </w:rPr>
        <w:t xml:space="preserve"> temeljem izvršenja u tekućem razdoblju</w:t>
      </w:r>
      <w:r w:rsidRPr="00241E6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92A97">
        <w:rPr>
          <w:rFonts w:ascii="Times New Roman" w:hAnsi="Times New Roman" w:cs="Times New Roman"/>
          <w:sz w:val="24"/>
          <w:szCs w:val="24"/>
        </w:rPr>
        <w:t>3.395.088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za 202</w:t>
      </w:r>
      <w:r w:rsidR="00F92A97">
        <w:rPr>
          <w:rFonts w:ascii="Times New Roman" w:hAnsi="Times New Roman" w:cs="Times New Roman"/>
          <w:sz w:val="24"/>
          <w:szCs w:val="24"/>
        </w:rPr>
        <w:t>6</w:t>
      </w:r>
      <w:r w:rsidRPr="00241E61">
        <w:rPr>
          <w:rFonts w:ascii="Times New Roman" w:hAnsi="Times New Roman" w:cs="Times New Roman"/>
          <w:sz w:val="24"/>
          <w:szCs w:val="24"/>
        </w:rPr>
        <w:t>. godinu, a odnose se na vlastite prihode (</w:t>
      </w:r>
      <w:r w:rsidRPr="00241E61">
        <w:rPr>
          <w:rFonts w:ascii="Times New Roman" w:hAnsi="Times New Roman" w:cs="Times New Roman"/>
          <w:i/>
          <w:sz w:val="24"/>
          <w:szCs w:val="24"/>
        </w:rPr>
        <w:t>izvor financiranja 31</w:t>
      </w:r>
      <w:r w:rsidRPr="00241E61">
        <w:rPr>
          <w:rFonts w:ascii="Times New Roman" w:hAnsi="Times New Roman" w:cs="Times New Roman"/>
          <w:sz w:val="24"/>
          <w:szCs w:val="24"/>
        </w:rPr>
        <w:t>) ostvarene iznajmljivanjem poslovnog prostora, prihoda od</w:t>
      </w:r>
      <w:r w:rsidR="005C6DFB">
        <w:rPr>
          <w:rFonts w:ascii="Times New Roman" w:hAnsi="Times New Roman" w:cs="Times New Roman"/>
          <w:sz w:val="24"/>
          <w:szCs w:val="24"/>
        </w:rPr>
        <w:t xml:space="preserve"> kliničkih ispitivanja i slično</w:t>
      </w:r>
      <w:r w:rsidR="00C23E5A">
        <w:rPr>
          <w:rFonts w:ascii="Times New Roman" w:hAnsi="Times New Roman" w:cs="Times New Roman"/>
          <w:sz w:val="24"/>
          <w:szCs w:val="24"/>
        </w:rPr>
        <w:t>,</w:t>
      </w:r>
      <w:r w:rsidR="00F92A97">
        <w:rPr>
          <w:rFonts w:ascii="Times New Roman" w:hAnsi="Times New Roman" w:cs="Times New Roman"/>
          <w:sz w:val="24"/>
          <w:szCs w:val="24"/>
        </w:rPr>
        <w:t xml:space="preserve"> te</w:t>
      </w:r>
      <w:r w:rsidRPr="00241E61">
        <w:rPr>
          <w:rFonts w:ascii="Times New Roman" w:hAnsi="Times New Roman" w:cs="Times New Roman"/>
          <w:sz w:val="24"/>
          <w:szCs w:val="24"/>
        </w:rPr>
        <w:t xml:space="preserve"> donacij</w:t>
      </w:r>
      <w:r>
        <w:rPr>
          <w:rFonts w:ascii="Times New Roman" w:hAnsi="Times New Roman" w:cs="Times New Roman"/>
          <w:sz w:val="24"/>
          <w:szCs w:val="24"/>
        </w:rPr>
        <w:t>e (</w:t>
      </w:r>
      <w:r w:rsidRPr="00163DD9">
        <w:rPr>
          <w:rFonts w:ascii="Times New Roman" w:hAnsi="Times New Roman" w:cs="Times New Roman"/>
          <w:i/>
          <w:sz w:val="24"/>
          <w:szCs w:val="24"/>
        </w:rPr>
        <w:t>izvor financiranja 61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604A">
        <w:rPr>
          <w:rFonts w:ascii="Times New Roman" w:hAnsi="Times New Roman" w:cs="Times New Roman"/>
          <w:sz w:val="24"/>
          <w:szCs w:val="24"/>
        </w:rPr>
        <w:t xml:space="preserve">. Unutar ove skupine prihoda planiran je </w:t>
      </w:r>
      <w:r w:rsidR="0019604A" w:rsidRPr="0019604A">
        <w:rPr>
          <w:rFonts w:ascii="Times New Roman" w:hAnsi="Times New Roman" w:cs="Times New Roman"/>
          <w:i/>
          <w:sz w:val="24"/>
          <w:szCs w:val="24"/>
        </w:rPr>
        <w:t>i i</w:t>
      </w:r>
      <w:r w:rsidR="00F92A97" w:rsidRPr="0019604A">
        <w:rPr>
          <w:rFonts w:ascii="Times New Roman" w:hAnsi="Times New Roman" w:cs="Times New Roman"/>
          <w:i/>
          <w:sz w:val="24"/>
          <w:szCs w:val="24"/>
        </w:rPr>
        <w:t>zvor financiranja 563</w:t>
      </w:r>
      <w:r w:rsidR="00C23E5A">
        <w:rPr>
          <w:rFonts w:ascii="Times New Roman" w:hAnsi="Times New Roman" w:cs="Times New Roman"/>
          <w:i/>
          <w:sz w:val="24"/>
          <w:szCs w:val="24"/>
        </w:rPr>
        <w:t>11</w:t>
      </w:r>
      <w:r w:rsidR="00F92A97" w:rsidRPr="0019604A">
        <w:rPr>
          <w:rFonts w:ascii="Times New Roman" w:hAnsi="Times New Roman" w:cs="Times New Roman"/>
          <w:i/>
          <w:sz w:val="24"/>
          <w:szCs w:val="24"/>
        </w:rPr>
        <w:t xml:space="preserve"> Europski fond za regionalni razvoj</w:t>
      </w:r>
      <w:r w:rsidR="00C23E5A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C23E5A">
        <w:rPr>
          <w:rFonts w:ascii="Times New Roman" w:hAnsi="Times New Roman" w:cs="Times New Roman"/>
          <w:i/>
          <w:sz w:val="24"/>
          <w:szCs w:val="24"/>
        </w:rPr>
        <w:t>predfinanciranje</w:t>
      </w:r>
      <w:proofErr w:type="spellEnd"/>
      <w:r w:rsidR="00C23E5A">
        <w:rPr>
          <w:rFonts w:ascii="Times New Roman" w:hAnsi="Times New Roman" w:cs="Times New Roman"/>
          <w:i/>
          <w:sz w:val="24"/>
          <w:szCs w:val="24"/>
        </w:rPr>
        <w:t xml:space="preserve"> iz izvora 11 Opći prihodi i primici</w:t>
      </w:r>
      <w:r w:rsidR="00F92A97">
        <w:rPr>
          <w:rFonts w:ascii="Times New Roman" w:hAnsi="Times New Roman" w:cs="Times New Roman"/>
          <w:sz w:val="24"/>
          <w:szCs w:val="24"/>
        </w:rPr>
        <w:t xml:space="preserve"> </w:t>
      </w:r>
      <w:r w:rsidR="0019604A">
        <w:rPr>
          <w:rFonts w:ascii="Times New Roman" w:hAnsi="Times New Roman" w:cs="Times New Roman"/>
          <w:sz w:val="24"/>
          <w:szCs w:val="24"/>
        </w:rPr>
        <w:t xml:space="preserve">koji se odnosi na projekt </w:t>
      </w:r>
      <w:r w:rsidR="00F92A97" w:rsidRPr="00F92A97">
        <w:rPr>
          <w:rFonts w:ascii="Times New Roman" w:hAnsi="Times New Roman" w:cs="Times New Roman"/>
          <w:sz w:val="24"/>
          <w:szCs w:val="24"/>
        </w:rPr>
        <w:t xml:space="preserve">Razvoj i validacija novih inovativnih analitičkih metoda u analizi vodećih očnih bolesti </w:t>
      </w:r>
      <w:r w:rsidR="00F92A97">
        <w:rPr>
          <w:rFonts w:ascii="Times New Roman" w:hAnsi="Times New Roman" w:cs="Times New Roman"/>
          <w:sz w:val="24"/>
          <w:szCs w:val="24"/>
        </w:rPr>
        <w:t>(p</w:t>
      </w:r>
      <w:r w:rsidR="00F92A97" w:rsidRPr="00F92A97">
        <w:rPr>
          <w:rFonts w:ascii="Times New Roman" w:hAnsi="Times New Roman" w:cs="Times New Roman"/>
          <w:sz w:val="24"/>
          <w:szCs w:val="24"/>
        </w:rPr>
        <w:t>rojekt SPIN</w:t>
      </w:r>
      <w:r w:rsidR="00F92A97">
        <w:rPr>
          <w:rFonts w:ascii="Times New Roman" w:hAnsi="Times New Roman" w:cs="Times New Roman"/>
          <w:sz w:val="24"/>
          <w:szCs w:val="24"/>
        </w:rPr>
        <w:t xml:space="preserve">). </w:t>
      </w:r>
      <w:r w:rsidRPr="00241E61">
        <w:rPr>
          <w:rFonts w:ascii="Times New Roman" w:hAnsi="Times New Roman" w:cs="Times New Roman"/>
          <w:sz w:val="24"/>
          <w:szCs w:val="24"/>
        </w:rPr>
        <w:t>Plan za 202</w:t>
      </w:r>
      <w:r w:rsidR="0019604A">
        <w:rPr>
          <w:rFonts w:ascii="Times New Roman" w:hAnsi="Times New Roman" w:cs="Times New Roman"/>
          <w:sz w:val="24"/>
          <w:szCs w:val="24"/>
        </w:rPr>
        <w:t>7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19604A">
        <w:rPr>
          <w:rFonts w:ascii="Times New Roman" w:hAnsi="Times New Roman" w:cs="Times New Roman"/>
          <w:sz w:val="24"/>
          <w:szCs w:val="24"/>
        </w:rPr>
        <w:t>2.140.680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eura, te za 202</w:t>
      </w:r>
      <w:r w:rsidR="001960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1E61">
        <w:rPr>
          <w:rFonts w:ascii="Times New Roman" w:hAnsi="Times New Roman" w:cs="Times New Roman"/>
          <w:sz w:val="24"/>
          <w:szCs w:val="24"/>
        </w:rPr>
        <w:t xml:space="preserve"> godinu </w:t>
      </w:r>
      <w:r w:rsidR="0019604A">
        <w:rPr>
          <w:rFonts w:ascii="Times New Roman" w:hAnsi="Times New Roman" w:cs="Times New Roman"/>
          <w:sz w:val="24"/>
          <w:szCs w:val="24"/>
        </w:rPr>
        <w:t>2.169.026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787926" w:rsidRPr="00B20D48" w:rsidRDefault="00787926" w:rsidP="00787926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7926">
        <w:rPr>
          <w:rFonts w:ascii="Times New Roman" w:hAnsi="Times New Roman" w:cs="Times New Roman"/>
          <w:sz w:val="24"/>
          <w:szCs w:val="24"/>
        </w:rPr>
        <w:t xml:space="preserve">U manjim iznosima planirani su i prihodi iz </w:t>
      </w:r>
      <w:r w:rsidRPr="00787926">
        <w:rPr>
          <w:rFonts w:ascii="Times New Roman" w:hAnsi="Times New Roman" w:cs="Times New Roman"/>
          <w:b/>
          <w:sz w:val="24"/>
          <w:szCs w:val="24"/>
        </w:rPr>
        <w:t>skupine prihoda 64</w:t>
      </w:r>
      <w:r w:rsidRPr="00787926">
        <w:rPr>
          <w:rFonts w:ascii="Times New Roman" w:hAnsi="Times New Roman" w:cs="Times New Roman"/>
          <w:sz w:val="24"/>
          <w:szCs w:val="24"/>
        </w:rPr>
        <w:t xml:space="preserve"> Prihodi od imovine na </w:t>
      </w:r>
      <w:r w:rsidRPr="00787926">
        <w:rPr>
          <w:rFonts w:ascii="Times New Roman" w:hAnsi="Times New Roman" w:cs="Times New Roman"/>
          <w:i/>
          <w:sz w:val="24"/>
          <w:szCs w:val="24"/>
        </w:rPr>
        <w:t>izvoru financiranja 31 Vlastiti prihodi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7926">
        <w:rPr>
          <w:rFonts w:ascii="Times New Roman" w:hAnsi="Times New Roman" w:cs="Times New Roman"/>
          <w:b/>
          <w:sz w:val="24"/>
          <w:szCs w:val="24"/>
        </w:rPr>
        <w:t>skupine prihoda 68</w:t>
      </w:r>
      <w:r w:rsidRPr="00787926">
        <w:rPr>
          <w:rFonts w:ascii="Times New Roman" w:hAnsi="Times New Roman" w:cs="Times New Roman"/>
          <w:sz w:val="24"/>
          <w:szCs w:val="24"/>
        </w:rPr>
        <w:t xml:space="preserve"> Kazne, upravne mjere i ostali prihodi </w:t>
      </w:r>
      <w:r w:rsidRPr="00787926">
        <w:rPr>
          <w:rFonts w:ascii="Times New Roman" w:hAnsi="Times New Roman" w:cs="Times New Roman"/>
          <w:i/>
          <w:sz w:val="24"/>
          <w:szCs w:val="24"/>
        </w:rPr>
        <w:t>na izvoru financiranja 43 Ostali prihodi za posebne namjene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7926">
        <w:rPr>
          <w:rFonts w:ascii="Times New Roman" w:hAnsi="Times New Roman" w:cs="Times New Roman"/>
          <w:sz w:val="24"/>
          <w:szCs w:val="24"/>
        </w:rPr>
        <w:t>te</w:t>
      </w:r>
      <w:r w:rsidRPr="00787926">
        <w:t xml:space="preserve"> P</w:t>
      </w:r>
      <w:r w:rsidRPr="00787926">
        <w:rPr>
          <w:rFonts w:ascii="Times New Roman" w:hAnsi="Times New Roman" w:cs="Times New Roman"/>
          <w:sz w:val="24"/>
          <w:szCs w:val="24"/>
        </w:rPr>
        <w:t>rihodi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iz</w:t>
      </w:r>
      <w:r w:rsidRPr="0078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skupine</w:t>
      </w:r>
      <w:r w:rsidRPr="00787926">
        <w:rPr>
          <w:rFonts w:ascii="Times New Roman" w:hAnsi="Times New Roman" w:cs="Times New Roman"/>
          <w:b/>
          <w:sz w:val="24"/>
          <w:szCs w:val="24"/>
        </w:rPr>
        <w:t xml:space="preserve"> prihoda 63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926">
        <w:rPr>
          <w:rFonts w:ascii="Times New Roman" w:hAnsi="Times New Roman" w:cs="Times New Roman"/>
          <w:sz w:val="24"/>
          <w:szCs w:val="24"/>
        </w:rPr>
        <w:t xml:space="preserve">na </w:t>
      </w:r>
      <w:r w:rsidRPr="00B20D48">
        <w:rPr>
          <w:rFonts w:ascii="Times New Roman" w:hAnsi="Times New Roman" w:cs="Times New Roman"/>
          <w:i/>
          <w:sz w:val="24"/>
          <w:szCs w:val="24"/>
        </w:rPr>
        <w:t>izvoru financiranja 510</w:t>
      </w:r>
      <w:r w:rsidR="00B20D48" w:rsidRPr="00B20D48">
        <w:rPr>
          <w:rFonts w:ascii="Times New Roman" w:hAnsi="Times New Roman" w:cs="Times New Roman"/>
          <w:i/>
          <w:sz w:val="24"/>
          <w:szCs w:val="24"/>
        </w:rPr>
        <w:t>00</w:t>
      </w:r>
      <w:r w:rsidRPr="00B20D48">
        <w:rPr>
          <w:rFonts w:ascii="Times New Roman" w:hAnsi="Times New Roman" w:cs="Times New Roman"/>
          <w:i/>
          <w:sz w:val="24"/>
          <w:szCs w:val="24"/>
        </w:rPr>
        <w:t xml:space="preserve"> Programi Unije</w:t>
      </w:r>
      <w:r w:rsidR="00B20D48">
        <w:rPr>
          <w:rFonts w:ascii="Times New Roman" w:hAnsi="Times New Roman" w:cs="Times New Roman"/>
          <w:i/>
          <w:sz w:val="24"/>
          <w:szCs w:val="24"/>
        </w:rPr>
        <w:t xml:space="preserve"> – raspoloživ predujam</w:t>
      </w:r>
      <w:r w:rsidRPr="00B20D48">
        <w:rPr>
          <w:rFonts w:ascii="Times New Roman" w:hAnsi="Times New Roman" w:cs="Times New Roman"/>
          <w:i/>
          <w:sz w:val="24"/>
          <w:szCs w:val="24"/>
        </w:rPr>
        <w:t>.</w:t>
      </w:r>
    </w:p>
    <w:p w:rsidR="009E024C" w:rsidRDefault="009E024C" w:rsidP="007879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U razredu 7 na </w:t>
      </w:r>
      <w:r w:rsidRPr="00241E61">
        <w:rPr>
          <w:rFonts w:ascii="Times New Roman" w:hAnsi="Times New Roman" w:cs="Times New Roman"/>
          <w:b/>
          <w:sz w:val="24"/>
          <w:szCs w:val="24"/>
        </w:rPr>
        <w:t>skupini prihoda 72</w:t>
      </w:r>
      <w:r w:rsidRPr="00241E61">
        <w:rPr>
          <w:rFonts w:ascii="Times New Roman" w:hAnsi="Times New Roman" w:cs="Times New Roman"/>
          <w:sz w:val="24"/>
          <w:szCs w:val="24"/>
        </w:rPr>
        <w:t xml:space="preserve"> (Prihodi od prodaje </w:t>
      </w:r>
      <w:r w:rsidR="00BD6E8A">
        <w:rPr>
          <w:rFonts w:ascii="Times New Roman" w:hAnsi="Times New Roman" w:cs="Times New Roman"/>
          <w:sz w:val="24"/>
          <w:szCs w:val="24"/>
        </w:rPr>
        <w:t>proizvedene dugotrajne</w:t>
      </w:r>
      <w:r w:rsidRPr="00241E61">
        <w:rPr>
          <w:rFonts w:ascii="Times New Roman" w:hAnsi="Times New Roman" w:cs="Times New Roman"/>
          <w:sz w:val="24"/>
          <w:szCs w:val="24"/>
        </w:rPr>
        <w:t xml:space="preserve"> imovine) također je planiran manji prihod od prodaje stanova na </w:t>
      </w:r>
      <w:r w:rsidRPr="00241E61">
        <w:rPr>
          <w:rFonts w:ascii="Times New Roman" w:hAnsi="Times New Roman" w:cs="Times New Roman"/>
          <w:i/>
          <w:sz w:val="24"/>
          <w:szCs w:val="24"/>
        </w:rPr>
        <w:t>izvoru financiranja 71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0C386E">
        <w:rPr>
          <w:rFonts w:ascii="Times New Roman" w:hAnsi="Times New Roman" w:cs="Times New Roman"/>
          <w:i/>
          <w:sz w:val="24"/>
          <w:szCs w:val="24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kroz sve tri planske godine.</w:t>
      </w:r>
    </w:p>
    <w:p w:rsidR="000C5CC1" w:rsidRDefault="000C5CC1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250" w:rsidRDefault="00AA3250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024C" w:rsidRPr="00B72343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34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194E15" w:rsidRDefault="00194E15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Ukupni rashodi planirani su u iznosu od </w:t>
      </w:r>
      <w:r w:rsidR="00727968">
        <w:rPr>
          <w:rFonts w:ascii="Times New Roman" w:hAnsi="Times New Roman" w:cs="Times New Roman"/>
          <w:sz w:val="24"/>
          <w:szCs w:val="24"/>
        </w:rPr>
        <w:t>3</w:t>
      </w:r>
      <w:r w:rsidR="007D5087">
        <w:rPr>
          <w:rFonts w:ascii="Times New Roman" w:hAnsi="Times New Roman" w:cs="Times New Roman"/>
          <w:sz w:val="24"/>
          <w:szCs w:val="24"/>
        </w:rPr>
        <w:t xml:space="preserve">91.583.447 </w:t>
      </w:r>
      <w:r w:rsidRPr="00241E61">
        <w:rPr>
          <w:rFonts w:ascii="Times New Roman" w:hAnsi="Times New Roman" w:cs="Times New Roman"/>
          <w:sz w:val="24"/>
          <w:szCs w:val="24"/>
        </w:rPr>
        <w:t>eura u 202</w:t>
      </w:r>
      <w:r w:rsidR="00727968">
        <w:rPr>
          <w:rFonts w:ascii="Times New Roman" w:hAnsi="Times New Roman" w:cs="Times New Roman"/>
          <w:sz w:val="24"/>
          <w:szCs w:val="24"/>
        </w:rPr>
        <w:t>6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godini i veći su za </w:t>
      </w:r>
      <w:r w:rsidR="007D5087">
        <w:rPr>
          <w:rFonts w:ascii="Times New Roman" w:hAnsi="Times New Roman" w:cs="Times New Roman"/>
          <w:sz w:val="24"/>
          <w:szCs w:val="24"/>
        </w:rPr>
        <w:t>16</w:t>
      </w:r>
      <w:r w:rsidR="00727968">
        <w:rPr>
          <w:rFonts w:ascii="Times New Roman" w:hAnsi="Times New Roman" w:cs="Times New Roman"/>
          <w:sz w:val="24"/>
          <w:szCs w:val="24"/>
        </w:rPr>
        <w:t>,</w:t>
      </w:r>
      <w:r w:rsidR="007D5087">
        <w:rPr>
          <w:rFonts w:ascii="Times New Roman" w:hAnsi="Times New Roman" w:cs="Times New Roman"/>
          <w:sz w:val="24"/>
          <w:szCs w:val="24"/>
        </w:rPr>
        <w:t>0</w:t>
      </w:r>
      <w:r w:rsidR="00727968">
        <w:rPr>
          <w:rFonts w:ascii="Times New Roman" w:hAnsi="Times New Roman" w:cs="Times New Roman"/>
          <w:sz w:val="24"/>
          <w:szCs w:val="24"/>
        </w:rPr>
        <w:t>4</w:t>
      </w:r>
      <w:r w:rsidRPr="00241E61">
        <w:rPr>
          <w:rFonts w:ascii="Times New Roman" w:hAnsi="Times New Roman" w:cs="Times New Roman"/>
          <w:sz w:val="24"/>
          <w:szCs w:val="24"/>
        </w:rPr>
        <w:t xml:space="preserve"> % u odnosu na</w:t>
      </w:r>
      <w:r>
        <w:rPr>
          <w:rFonts w:ascii="Times New Roman" w:hAnsi="Times New Roman" w:cs="Times New Roman"/>
          <w:sz w:val="24"/>
          <w:szCs w:val="24"/>
        </w:rPr>
        <w:t xml:space="preserve"> Izmjene i dopune Financijskog plana K</w:t>
      </w:r>
      <w:r w:rsidR="009C3454">
        <w:rPr>
          <w:rFonts w:ascii="Times New Roman" w:hAnsi="Times New Roman" w:cs="Times New Roman"/>
          <w:sz w:val="24"/>
          <w:szCs w:val="24"/>
        </w:rPr>
        <w:t xml:space="preserve">liničkog bolničkog centra </w:t>
      </w:r>
      <w:r>
        <w:rPr>
          <w:rFonts w:ascii="Times New Roman" w:hAnsi="Times New Roman" w:cs="Times New Roman"/>
          <w:sz w:val="24"/>
          <w:szCs w:val="24"/>
        </w:rPr>
        <w:t>Sestre milosrdnice za 202</w:t>
      </w:r>
      <w:r w:rsidR="00727968">
        <w:rPr>
          <w:rFonts w:ascii="Times New Roman" w:hAnsi="Times New Roman" w:cs="Times New Roman"/>
          <w:sz w:val="24"/>
          <w:szCs w:val="24"/>
        </w:rPr>
        <w:t>5</w:t>
      </w:r>
      <w:r w:rsidR="00283065">
        <w:rPr>
          <w:rFonts w:ascii="Times New Roman" w:hAnsi="Times New Roman" w:cs="Times New Roman"/>
          <w:sz w:val="24"/>
          <w:szCs w:val="24"/>
        </w:rPr>
        <w:t>. godinu (Rebalans</w:t>
      </w:r>
      <w:r>
        <w:rPr>
          <w:rFonts w:ascii="Times New Roman" w:hAnsi="Times New Roman" w:cs="Times New Roman"/>
          <w:sz w:val="24"/>
          <w:szCs w:val="24"/>
        </w:rPr>
        <w:t>). Za 202</w:t>
      </w:r>
      <w:r w:rsidR="00727968">
        <w:rPr>
          <w:rFonts w:ascii="Times New Roman" w:hAnsi="Times New Roman" w:cs="Times New Roman"/>
          <w:sz w:val="24"/>
          <w:szCs w:val="24"/>
        </w:rPr>
        <w:t>7</w:t>
      </w:r>
      <w:r w:rsidRPr="00241E61">
        <w:rPr>
          <w:rFonts w:ascii="Times New Roman" w:hAnsi="Times New Roman" w:cs="Times New Roman"/>
          <w:sz w:val="24"/>
          <w:szCs w:val="24"/>
        </w:rPr>
        <w:t>. godinu planiran je iznos od</w:t>
      </w:r>
      <w:r w:rsidR="00E615DA">
        <w:rPr>
          <w:rFonts w:ascii="Times New Roman" w:hAnsi="Times New Roman" w:cs="Times New Roman"/>
          <w:sz w:val="24"/>
          <w:szCs w:val="24"/>
        </w:rPr>
        <w:t xml:space="preserve"> </w:t>
      </w:r>
      <w:r w:rsidR="00727968">
        <w:rPr>
          <w:rFonts w:ascii="Times New Roman" w:hAnsi="Times New Roman" w:cs="Times New Roman"/>
          <w:sz w:val="24"/>
          <w:szCs w:val="24"/>
        </w:rPr>
        <w:t>347.566.425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D65766">
        <w:rPr>
          <w:rFonts w:ascii="Times New Roman" w:hAnsi="Times New Roman" w:cs="Times New Roman"/>
          <w:sz w:val="24"/>
          <w:szCs w:val="24"/>
        </w:rPr>
        <w:t>, te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727968">
        <w:rPr>
          <w:rFonts w:ascii="Times New Roman" w:hAnsi="Times New Roman" w:cs="Times New Roman"/>
          <w:sz w:val="24"/>
          <w:szCs w:val="24"/>
        </w:rPr>
        <w:t>368.371.675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 xml:space="preserve">eura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u 202</w:t>
      </w:r>
      <w:r w:rsidR="00727968">
        <w:rPr>
          <w:rFonts w:ascii="Times New Roman" w:hAnsi="Times New Roman" w:cs="Times New Roman"/>
          <w:sz w:val="24"/>
          <w:szCs w:val="24"/>
        </w:rPr>
        <w:t>8</w:t>
      </w:r>
      <w:r w:rsidR="00E615DA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E15" w:rsidRPr="00283065" w:rsidRDefault="00194E15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Najznačajniji rashodi odnose se na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7A16A5">
        <w:rPr>
          <w:rFonts w:ascii="Times New Roman" w:hAnsi="Times New Roman" w:cs="Times New Roman"/>
          <w:b/>
          <w:sz w:val="24"/>
          <w:szCs w:val="24"/>
        </w:rPr>
        <w:t>sku</w:t>
      </w:r>
      <w:r w:rsidRPr="00241E61">
        <w:rPr>
          <w:rFonts w:ascii="Times New Roman" w:hAnsi="Times New Roman" w:cs="Times New Roman"/>
          <w:b/>
          <w:sz w:val="24"/>
          <w:szCs w:val="24"/>
        </w:rPr>
        <w:t>pin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241E61">
        <w:rPr>
          <w:rFonts w:ascii="Times New Roman" w:hAnsi="Times New Roman" w:cs="Times New Roman"/>
          <w:b/>
          <w:sz w:val="24"/>
          <w:szCs w:val="24"/>
        </w:rPr>
        <w:t xml:space="preserve"> konta 31 </w:t>
      </w:r>
      <w:r w:rsidRPr="00241E61">
        <w:rPr>
          <w:rFonts w:ascii="Times New Roman" w:hAnsi="Times New Roman" w:cs="Times New Roman"/>
          <w:sz w:val="24"/>
          <w:szCs w:val="24"/>
        </w:rPr>
        <w:t xml:space="preserve">Rashodi za zaposlene,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241E61">
        <w:rPr>
          <w:rFonts w:ascii="Times New Roman" w:hAnsi="Times New Roman" w:cs="Times New Roman"/>
          <w:sz w:val="24"/>
          <w:szCs w:val="24"/>
        </w:rPr>
        <w:t xml:space="preserve"> su </w:t>
      </w:r>
      <w:r w:rsidR="00D65766">
        <w:rPr>
          <w:rFonts w:ascii="Times New Roman" w:hAnsi="Times New Roman" w:cs="Times New Roman"/>
          <w:sz w:val="24"/>
          <w:szCs w:val="24"/>
        </w:rPr>
        <w:t>za 202</w:t>
      </w:r>
      <w:r w:rsidR="0064417E">
        <w:rPr>
          <w:rFonts w:ascii="Times New Roman" w:hAnsi="Times New Roman" w:cs="Times New Roman"/>
          <w:sz w:val="24"/>
          <w:szCs w:val="24"/>
        </w:rPr>
        <w:t>6</w:t>
      </w:r>
      <w:r w:rsidR="00D65766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241E61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="0064417E">
        <w:rPr>
          <w:rFonts w:ascii="Times New Roman" w:hAnsi="Times New Roman" w:cs="Times New Roman"/>
          <w:sz w:val="24"/>
          <w:szCs w:val="24"/>
        </w:rPr>
        <w:t>178.089.835</w:t>
      </w:r>
      <w:r w:rsidR="00E615DA">
        <w:rPr>
          <w:rFonts w:ascii="Times New Roman" w:hAnsi="Times New Roman" w:cs="Times New Roman"/>
          <w:sz w:val="24"/>
          <w:szCs w:val="24"/>
        </w:rPr>
        <w:t xml:space="preserve"> eura</w:t>
      </w:r>
      <w:r w:rsidRPr="00241E61">
        <w:rPr>
          <w:rFonts w:ascii="Times New Roman" w:hAnsi="Times New Roman" w:cs="Times New Roman"/>
          <w:sz w:val="24"/>
          <w:szCs w:val="24"/>
        </w:rPr>
        <w:t xml:space="preserve"> što je </w:t>
      </w:r>
      <w:r w:rsidR="00283065">
        <w:rPr>
          <w:rFonts w:ascii="Times New Roman" w:hAnsi="Times New Roman" w:cs="Times New Roman"/>
          <w:sz w:val="24"/>
          <w:szCs w:val="24"/>
        </w:rPr>
        <w:t>3,</w:t>
      </w:r>
      <w:r w:rsidR="0064417E">
        <w:rPr>
          <w:rFonts w:ascii="Times New Roman" w:hAnsi="Times New Roman" w:cs="Times New Roman"/>
          <w:sz w:val="24"/>
          <w:szCs w:val="24"/>
        </w:rPr>
        <w:t>54</w:t>
      </w:r>
      <w:r w:rsidRPr="00241E61">
        <w:rPr>
          <w:rFonts w:ascii="Times New Roman" w:hAnsi="Times New Roman" w:cs="Times New Roman"/>
          <w:sz w:val="24"/>
          <w:szCs w:val="24"/>
        </w:rPr>
        <w:t xml:space="preserve"> % veći iznos od p</w:t>
      </w:r>
      <w:r w:rsidR="0064417E">
        <w:rPr>
          <w:rFonts w:ascii="Times New Roman" w:hAnsi="Times New Roman" w:cs="Times New Roman"/>
          <w:sz w:val="24"/>
          <w:szCs w:val="24"/>
        </w:rPr>
        <w:t>laniranog iznosa iz Rebalansa 2025</w:t>
      </w:r>
      <w:r w:rsidR="00283065">
        <w:rPr>
          <w:rFonts w:ascii="Times New Roman" w:hAnsi="Times New Roman" w:cs="Times New Roman"/>
          <w:sz w:val="24"/>
          <w:szCs w:val="24"/>
        </w:rPr>
        <w:t>. godine</w:t>
      </w:r>
      <w:r w:rsidRPr="00241E61">
        <w:rPr>
          <w:rFonts w:ascii="Times New Roman" w:hAnsi="Times New Roman" w:cs="Times New Roman"/>
          <w:sz w:val="24"/>
          <w:szCs w:val="24"/>
        </w:rPr>
        <w:t xml:space="preserve">. </w:t>
      </w:r>
      <w:r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Povećanje se odnosi na projekciju izračuna plaća </w:t>
      </w:r>
      <w:r w:rsidR="00283065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</w:t>
      </w:r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ispla</w:t>
      </w:r>
      <w:r w:rsidR="00B20D48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6750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13EB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plaća za rujan 2025. godine</w:t>
      </w:r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3EB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koj</w:t>
      </w:r>
      <w:r w:rsidR="00B20D48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26750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obuhvaćala povećanje od 3 % </w:t>
      </w:r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sukladno O</w:t>
      </w:r>
      <w:r w:rsidR="00C26750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dluci</w:t>
      </w:r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visini osnovice za obračun plaće u javnim službama u 2025. godini </w:t>
      </w:r>
      <w:proofErr w:type="spellStart"/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donijetoj</w:t>
      </w:r>
      <w:proofErr w:type="spellEnd"/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strane</w:t>
      </w:r>
      <w:r w:rsidR="00C26750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Vlade Republike Hrvatske</w:t>
      </w:r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(NN</w:t>
      </w:r>
      <w:r w:rsidR="00B20D48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251" w:rsidRPr="00B20D48">
        <w:rPr>
          <w:rFonts w:ascii="Times New Roman" w:hAnsi="Times New Roman" w:cs="Times New Roman"/>
          <w:color w:val="000000" w:themeColor="text1"/>
          <w:sz w:val="24"/>
          <w:szCs w:val="24"/>
        </w:rPr>
        <w:t>155/24)</w:t>
      </w:r>
      <w:r w:rsidR="00254251" w:rsidRPr="00B20D48">
        <w:rPr>
          <w:rFonts w:ascii="Times New Roman" w:hAnsi="Times New Roman" w:cs="Times New Roman"/>
          <w:sz w:val="24"/>
          <w:szCs w:val="24"/>
        </w:rPr>
        <w:t>. N</w:t>
      </w:r>
      <w:r w:rsidRPr="00B20D48">
        <w:rPr>
          <w:rFonts w:ascii="Times New Roman" w:hAnsi="Times New Roman" w:cs="Times New Roman"/>
          <w:sz w:val="24"/>
          <w:szCs w:val="24"/>
        </w:rPr>
        <w:t xml:space="preserve">ajveći dio rashoda planiran je </w:t>
      </w:r>
      <w:r w:rsidRPr="00B20D48">
        <w:rPr>
          <w:rFonts w:ascii="Times New Roman" w:hAnsi="Times New Roman" w:cs="Times New Roman"/>
          <w:i/>
          <w:sz w:val="24"/>
          <w:szCs w:val="24"/>
        </w:rPr>
        <w:t>na izvoru financiranja 43</w:t>
      </w:r>
      <w:r w:rsidRPr="00241E61">
        <w:rPr>
          <w:rFonts w:ascii="Times New Roman" w:hAnsi="Times New Roman" w:cs="Times New Roman"/>
          <w:i/>
          <w:sz w:val="24"/>
          <w:szCs w:val="24"/>
        </w:rPr>
        <w:t xml:space="preserve"> Ostali prihodi za posebne namjene</w:t>
      </w:r>
      <w:r w:rsidR="0058580E">
        <w:rPr>
          <w:rFonts w:ascii="Times New Roman" w:hAnsi="Times New Roman" w:cs="Times New Roman"/>
          <w:sz w:val="24"/>
          <w:szCs w:val="24"/>
        </w:rPr>
        <w:t>,</w:t>
      </w:r>
      <w:r w:rsidRPr="00241E61">
        <w:rPr>
          <w:rFonts w:ascii="Times New Roman" w:hAnsi="Times New Roman" w:cs="Times New Roman"/>
          <w:sz w:val="24"/>
          <w:szCs w:val="24"/>
        </w:rPr>
        <w:t xml:space="preserve"> dok je dio rashoda za zaposlene planiran i </w:t>
      </w:r>
      <w:r w:rsidR="005C6DFB">
        <w:rPr>
          <w:rFonts w:ascii="Times New Roman" w:hAnsi="Times New Roman" w:cs="Times New Roman"/>
          <w:sz w:val="24"/>
          <w:szCs w:val="24"/>
        </w:rPr>
        <w:t>na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861133">
        <w:rPr>
          <w:rFonts w:ascii="Times New Roman" w:hAnsi="Times New Roman" w:cs="Times New Roman"/>
          <w:i/>
          <w:sz w:val="24"/>
          <w:szCs w:val="24"/>
        </w:rPr>
        <w:t>izvor</w:t>
      </w:r>
      <w:r w:rsidR="005C6DFB">
        <w:rPr>
          <w:rFonts w:ascii="Times New Roman" w:hAnsi="Times New Roman" w:cs="Times New Roman"/>
          <w:i/>
          <w:sz w:val="24"/>
          <w:szCs w:val="24"/>
        </w:rPr>
        <w:t>u</w:t>
      </w:r>
      <w:r w:rsidRPr="00861133">
        <w:rPr>
          <w:rFonts w:ascii="Times New Roman" w:hAnsi="Times New Roman" w:cs="Times New Roman"/>
          <w:i/>
          <w:sz w:val="24"/>
          <w:szCs w:val="24"/>
        </w:rPr>
        <w:t xml:space="preserve"> financiranja </w:t>
      </w:r>
      <w:r w:rsidR="0058580E">
        <w:rPr>
          <w:rFonts w:ascii="Times New Roman" w:hAnsi="Times New Roman" w:cs="Times New Roman"/>
          <w:i/>
          <w:sz w:val="24"/>
          <w:szCs w:val="24"/>
        </w:rPr>
        <w:t>51</w:t>
      </w:r>
      <w:r w:rsidR="0064417E">
        <w:rPr>
          <w:rFonts w:ascii="Times New Roman" w:hAnsi="Times New Roman" w:cs="Times New Roman"/>
          <w:i/>
          <w:sz w:val="24"/>
          <w:szCs w:val="24"/>
        </w:rPr>
        <w:t>0</w:t>
      </w:r>
      <w:r w:rsidR="00B20D48">
        <w:rPr>
          <w:rFonts w:ascii="Times New Roman" w:hAnsi="Times New Roman" w:cs="Times New Roman"/>
          <w:i/>
          <w:sz w:val="24"/>
          <w:szCs w:val="24"/>
        </w:rPr>
        <w:t>00</w:t>
      </w:r>
      <w:r w:rsidR="00585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FA8">
        <w:rPr>
          <w:rFonts w:ascii="Times New Roman" w:hAnsi="Times New Roman" w:cs="Times New Roman"/>
          <w:i/>
          <w:sz w:val="24"/>
          <w:szCs w:val="24"/>
        </w:rPr>
        <w:t>P</w:t>
      </w:r>
      <w:r w:rsidR="0064417E">
        <w:rPr>
          <w:rFonts w:ascii="Times New Roman" w:hAnsi="Times New Roman" w:cs="Times New Roman"/>
          <w:i/>
          <w:sz w:val="24"/>
          <w:szCs w:val="24"/>
        </w:rPr>
        <w:t>rogrami</w:t>
      </w:r>
      <w:r w:rsidR="0058580E">
        <w:rPr>
          <w:rFonts w:ascii="Times New Roman" w:hAnsi="Times New Roman" w:cs="Times New Roman"/>
          <w:i/>
          <w:sz w:val="24"/>
          <w:szCs w:val="24"/>
        </w:rPr>
        <w:t xml:space="preserve"> U</w:t>
      </w:r>
      <w:r w:rsidR="00B20D48">
        <w:rPr>
          <w:rFonts w:ascii="Times New Roman" w:hAnsi="Times New Roman" w:cs="Times New Roman"/>
          <w:i/>
          <w:sz w:val="24"/>
          <w:szCs w:val="24"/>
        </w:rPr>
        <w:t>nije – raspoloživ predujam</w:t>
      </w:r>
      <w:r w:rsidR="00585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580E" w:rsidRPr="0058580E">
        <w:rPr>
          <w:rFonts w:ascii="Times New Roman" w:hAnsi="Times New Roman" w:cs="Times New Roman"/>
          <w:sz w:val="24"/>
          <w:szCs w:val="24"/>
        </w:rPr>
        <w:t xml:space="preserve">za </w:t>
      </w:r>
      <w:r w:rsidR="00D36E5C">
        <w:rPr>
          <w:rFonts w:ascii="Times New Roman" w:hAnsi="Times New Roman" w:cs="Times New Roman"/>
          <w:sz w:val="24"/>
          <w:szCs w:val="24"/>
        </w:rPr>
        <w:t>refundacij</w:t>
      </w:r>
      <w:r w:rsidR="0058580E" w:rsidRPr="0058580E">
        <w:rPr>
          <w:rFonts w:ascii="Times New Roman" w:hAnsi="Times New Roman" w:cs="Times New Roman"/>
          <w:sz w:val="24"/>
          <w:szCs w:val="24"/>
        </w:rPr>
        <w:t xml:space="preserve">u </w:t>
      </w:r>
      <w:r w:rsidR="0064417E">
        <w:rPr>
          <w:rFonts w:ascii="Times New Roman" w:hAnsi="Times New Roman" w:cs="Times New Roman"/>
          <w:sz w:val="24"/>
          <w:szCs w:val="24"/>
        </w:rPr>
        <w:t xml:space="preserve">dijela plaća </w:t>
      </w:r>
      <w:r w:rsidR="00CB39D6">
        <w:rPr>
          <w:rFonts w:ascii="Times New Roman" w:hAnsi="Times New Roman" w:cs="Times New Roman"/>
          <w:sz w:val="24"/>
          <w:szCs w:val="24"/>
        </w:rPr>
        <w:t>zaposlenika angažiranih</w:t>
      </w:r>
      <w:r w:rsidR="0058580E" w:rsidRPr="0058580E">
        <w:rPr>
          <w:rFonts w:ascii="Times New Roman" w:hAnsi="Times New Roman" w:cs="Times New Roman"/>
          <w:sz w:val="24"/>
          <w:szCs w:val="24"/>
        </w:rPr>
        <w:t xml:space="preserve"> na projektu JANE</w:t>
      </w:r>
      <w:r w:rsidR="00D65766">
        <w:rPr>
          <w:rFonts w:ascii="Times New Roman" w:hAnsi="Times New Roman" w:cs="Times New Roman"/>
          <w:sz w:val="24"/>
          <w:szCs w:val="24"/>
        </w:rPr>
        <w:t>-</w:t>
      </w:r>
      <w:r w:rsidR="0058580E" w:rsidRPr="0058580E">
        <w:rPr>
          <w:rFonts w:ascii="Times New Roman" w:hAnsi="Times New Roman" w:cs="Times New Roman"/>
          <w:sz w:val="24"/>
          <w:szCs w:val="24"/>
        </w:rPr>
        <w:t>2</w:t>
      </w:r>
      <w:r w:rsidR="006441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4417E">
        <w:rPr>
          <w:rFonts w:ascii="Times New Roman" w:hAnsi="Times New Roman" w:cs="Times New Roman"/>
          <w:sz w:val="24"/>
          <w:szCs w:val="24"/>
        </w:rPr>
        <w:t>EU</w:t>
      </w:r>
      <w:r w:rsidR="00110311">
        <w:rPr>
          <w:rFonts w:ascii="Times New Roman" w:hAnsi="Times New Roman" w:cs="Times New Roman"/>
          <w:sz w:val="24"/>
          <w:szCs w:val="24"/>
        </w:rPr>
        <w:t>N</w:t>
      </w:r>
      <w:r w:rsidR="0064417E">
        <w:rPr>
          <w:rFonts w:ascii="Times New Roman" w:hAnsi="Times New Roman" w:cs="Times New Roman"/>
          <w:sz w:val="24"/>
          <w:szCs w:val="24"/>
        </w:rPr>
        <w:t>etCCC</w:t>
      </w:r>
      <w:proofErr w:type="spellEnd"/>
      <w:r w:rsidR="0058580E" w:rsidRPr="005858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C6DFB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58580E" w:rsidRPr="0058580E">
        <w:rPr>
          <w:rFonts w:ascii="Times New Roman" w:hAnsi="Times New Roman" w:cs="Times New Roman"/>
          <w:i/>
          <w:sz w:val="24"/>
          <w:szCs w:val="24"/>
        </w:rPr>
        <w:t>izvor</w:t>
      </w:r>
      <w:r w:rsidR="005C6DFB">
        <w:rPr>
          <w:rFonts w:ascii="Times New Roman" w:hAnsi="Times New Roman" w:cs="Times New Roman"/>
          <w:i/>
          <w:sz w:val="24"/>
          <w:szCs w:val="24"/>
        </w:rPr>
        <w:t>u</w:t>
      </w:r>
      <w:r w:rsidR="0058580E" w:rsidRPr="0058580E">
        <w:rPr>
          <w:rFonts w:ascii="Times New Roman" w:hAnsi="Times New Roman" w:cs="Times New Roman"/>
          <w:i/>
          <w:sz w:val="24"/>
          <w:szCs w:val="24"/>
        </w:rPr>
        <w:t xml:space="preserve"> financiranja</w:t>
      </w:r>
      <w:r w:rsidR="0058580E">
        <w:rPr>
          <w:rFonts w:ascii="Times New Roman" w:hAnsi="Times New Roman" w:cs="Times New Roman"/>
          <w:sz w:val="24"/>
          <w:szCs w:val="24"/>
        </w:rPr>
        <w:t xml:space="preserve"> </w:t>
      </w:r>
      <w:r w:rsidR="0064417E" w:rsidRPr="005C6DFB">
        <w:rPr>
          <w:rFonts w:ascii="Times New Roman" w:hAnsi="Times New Roman" w:cs="Times New Roman"/>
          <w:i/>
          <w:sz w:val="24"/>
          <w:szCs w:val="24"/>
        </w:rPr>
        <w:t>31</w:t>
      </w:r>
      <w:r w:rsidRPr="008611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417E">
        <w:rPr>
          <w:rFonts w:ascii="Times New Roman" w:hAnsi="Times New Roman" w:cs="Times New Roman"/>
          <w:i/>
          <w:sz w:val="24"/>
          <w:szCs w:val="24"/>
        </w:rPr>
        <w:t xml:space="preserve">Vlastiti prihodi </w:t>
      </w:r>
      <w:r w:rsidR="0064417E" w:rsidRPr="0064417E">
        <w:rPr>
          <w:rFonts w:ascii="Times New Roman" w:hAnsi="Times New Roman" w:cs="Times New Roman"/>
          <w:sz w:val="24"/>
          <w:szCs w:val="24"/>
        </w:rPr>
        <w:t xml:space="preserve">najvećim dijelom za isplate plaća vanjskim partnerima za </w:t>
      </w:r>
      <w:proofErr w:type="spellStart"/>
      <w:r w:rsidR="0064417E" w:rsidRPr="0064417E">
        <w:rPr>
          <w:rFonts w:ascii="Times New Roman" w:hAnsi="Times New Roman" w:cs="Times New Roman"/>
          <w:sz w:val="24"/>
          <w:szCs w:val="24"/>
        </w:rPr>
        <w:t>patohistološke</w:t>
      </w:r>
      <w:proofErr w:type="spellEnd"/>
      <w:r w:rsidR="0064417E" w:rsidRPr="0064417E">
        <w:rPr>
          <w:rFonts w:ascii="Times New Roman" w:hAnsi="Times New Roman" w:cs="Times New Roman"/>
          <w:sz w:val="24"/>
          <w:szCs w:val="24"/>
        </w:rPr>
        <w:t xml:space="preserve"> analize</w:t>
      </w:r>
      <w:r w:rsidR="0064417E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131FA8">
        <w:rPr>
          <w:rFonts w:ascii="Times New Roman" w:hAnsi="Times New Roman" w:cs="Times New Roman"/>
          <w:sz w:val="24"/>
          <w:szCs w:val="24"/>
        </w:rPr>
        <w:t xml:space="preserve">dijela </w:t>
      </w:r>
      <w:r>
        <w:rPr>
          <w:rFonts w:ascii="Times New Roman" w:hAnsi="Times New Roman" w:cs="Times New Roman"/>
          <w:sz w:val="24"/>
          <w:szCs w:val="24"/>
        </w:rPr>
        <w:t xml:space="preserve">plaća </w:t>
      </w:r>
      <w:r w:rsidR="00131FA8">
        <w:rPr>
          <w:rFonts w:ascii="Times New Roman" w:hAnsi="Times New Roman" w:cs="Times New Roman"/>
          <w:sz w:val="24"/>
          <w:szCs w:val="24"/>
        </w:rPr>
        <w:t>zaposle</w:t>
      </w:r>
      <w:r w:rsidR="0058580E">
        <w:rPr>
          <w:rFonts w:ascii="Times New Roman" w:hAnsi="Times New Roman" w:cs="Times New Roman"/>
          <w:sz w:val="24"/>
          <w:szCs w:val="24"/>
        </w:rPr>
        <w:t xml:space="preserve">nika </w:t>
      </w:r>
      <w:r w:rsidR="00131FA8">
        <w:rPr>
          <w:rFonts w:ascii="Times New Roman" w:hAnsi="Times New Roman" w:cs="Times New Roman"/>
          <w:sz w:val="24"/>
          <w:szCs w:val="24"/>
        </w:rPr>
        <w:t>angažira</w:t>
      </w:r>
      <w:r w:rsidR="0058580E">
        <w:rPr>
          <w:rFonts w:ascii="Times New Roman" w:hAnsi="Times New Roman" w:cs="Times New Roman"/>
          <w:sz w:val="24"/>
          <w:szCs w:val="24"/>
        </w:rPr>
        <w:t>nih na projektu</w:t>
      </w:r>
      <w:r w:rsidR="0064417E">
        <w:rPr>
          <w:rFonts w:ascii="Times New Roman" w:hAnsi="Times New Roman" w:cs="Times New Roman"/>
          <w:sz w:val="24"/>
          <w:szCs w:val="24"/>
        </w:rPr>
        <w:t xml:space="preserve"> JANE</w:t>
      </w:r>
      <w:r w:rsidR="007D23DD">
        <w:rPr>
          <w:rFonts w:ascii="Times New Roman" w:hAnsi="Times New Roman" w:cs="Times New Roman"/>
          <w:sz w:val="24"/>
          <w:szCs w:val="24"/>
        </w:rPr>
        <w:t>-</w:t>
      </w:r>
      <w:r w:rsidR="0064417E">
        <w:rPr>
          <w:rFonts w:ascii="Times New Roman" w:hAnsi="Times New Roman" w:cs="Times New Roman"/>
          <w:sz w:val="24"/>
          <w:szCs w:val="24"/>
        </w:rPr>
        <w:t>2 i</w:t>
      </w:r>
      <w:r w:rsidR="00585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0E">
        <w:rPr>
          <w:rFonts w:ascii="Times New Roman" w:hAnsi="Times New Roman" w:cs="Times New Roman"/>
          <w:sz w:val="24"/>
          <w:szCs w:val="24"/>
        </w:rPr>
        <w:t>EUNetCCC</w:t>
      </w:r>
      <w:proofErr w:type="spellEnd"/>
      <w:r w:rsidR="0058580E">
        <w:rPr>
          <w:rFonts w:ascii="Times New Roman" w:hAnsi="Times New Roman" w:cs="Times New Roman"/>
          <w:sz w:val="24"/>
          <w:szCs w:val="24"/>
        </w:rPr>
        <w:t>,</w:t>
      </w:r>
      <w:r w:rsidR="00131FA8">
        <w:rPr>
          <w:rFonts w:ascii="Times New Roman" w:hAnsi="Times New Roman" w:cs="Times New Roman"/>
          <w:sz w:val="24"/>
          <w:szCs w:val="24"/>
        </w:rPr>
        <w:t xml:space="preserve"> </w:t>
      </w:r>
      <w:r w:rsidR="005C6DFB">
        <w:rPr>
          <w:rFonts w:ascii="Times New Roman" w:hAnsi="Times New Roman" w:cs="Times New Roman"/>
          <w:sz w:val="24"/>
          <w:szCs w:val="24"/>
        </w:rPr>
        <w:t>Na</w:t>
      </w:r>
      <w:r w:rsidRPr="00241E61">
        <w:rPr>
          <w:rFonts w:ascii="Times New Roman" w:hAnsi="Times New Roman" w:cs="Times New Roman"/>
          <w:sz w:val="24"/>
          <w:szCs w:val="24"/>
        </w:rPr>
        <w:t xml:space="preserve"> ov</w:t>
      </w:r>
      <w:r w:rsidR="005C6DFB">
        <w:rPr>
          <w:rFonts w:ascii="Times New Roman" w:hAnsi="Times New Roman" w:cs="Times New Roman"/>
          <w:sz w:val="24"/>
          <w:szCs w:val="24"/>
        </w:rPr>
        <w:t>oj skupini</w:t>
      </w:r>
      <w:r w:rsidRPr="00241E61">
        <w:rPr>
          <w:rFonts w:ascii="Times New Roman" w:hAnsi="Times New Roman" w:cs="Times New Roman"/>
          <w:sz w:val="24"/>
          <w:szCs w:val="24"/>
        </w:rPr>
        <w:t xml:space="preserve"> rashoda za 202</w:t>
      </w:r>
      <w:r w:rsidR="00DE35FB">
        <w:rPr>
          <w:rFonts w:ascii="Times New Roman" w:hAnsi="Times New Roman" w:cs="Times New Roman"/>
          <w:sz w:val="24"/>
          <w:szCs w:val="24"/>
        </w:rPr>
        <w:t>7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planiran je iznos od </w:t>
      </w:r>
      <w:r w:rsidR="00DE35FB">
        <w:rPr>
          <w:rFonts w:ascii="Times New Roman" w:hAnsi="Times New Roman" w:cs="Times New Roman"/>
          <w:sz w:val="24"/>
          <w:szCs w:val="24"/>
        </w:rPr>
        <w:t>184.330.555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eura, te za 202</w:t>
      </w:r>
      <w:r w:rsidR="00DE35FB">
        <w:rPr>
          <w:rFonts w:ascii="Times New Roman" w:hAnsi="Times New Roman" w:cs="Times New Roman"/>
          <w:sz w:val="24"/>
          <w:szCs w:val="24"/>
        </w:rPr>
        <w:t>8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</w:t>
      </w:r>
      <w:r w:rsidR="00DE35FB">
        <w:rPr>
          <w:rFonts w:ascii="Times New Roman" w:hAnsi="Times New Roman" w:cs="Times New Roman"/>
          <w:sz w:val="24"/>
          <w:szCs w:val="24"/>
        </w:rPr>
        <w:t>192.023.165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eur</w:t>
      </w:r>
      <w:r w:rsidR="00DE35FB">
        <w:rPr>
          <w:rFonts w:ascii="Times New Roman" w:hAnsi="Times New Roman" w:cs="Times New Roman"/>
          <w:sz w:val="24"/>
          <w:szCs w:val="24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>.</w:t>
      </w:r>
    </w:p>
    <w:p w:rsidR="00194E15" w:rsidRDefault="00194E15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je značajna </w:t>
      </w:r>
      <w:r w:rsidRPr="00B057BE">
        <w:rPr>
          <w:rFonts w:ascii="Times New Roman" w:hAnsi="Times New Roman" w:cs="Times New Roman"/>
          <w:b/>
          <w:sz w:val="24"/>
          <w:szCs w:val="24"/>
        </w:rPr>
        <w:t xml:space="preserve">skupina konta 32 </w:t>
      </w:r>
      <w:r w:rsidRPr="00B057BE">
        <w:rPr>
          <w:rFonts w:ascii="Times New Roman" w:hAnsi="Times New Roman" w:cs="Times New Roman"/>
          <w:sz w:val="24"/>
          <w:szCs w:val="24"/>
        </w:rPr>
        <w:t>Materijalni rashodi</w:t>
      </w:r>
      <w:r w:rsidRPr="00241E61">
        <w:rPr>
          <w:rFonts w:ascii="Times New Roman" w:hAnsi="Times New Roman" w:cs="Times New Roman"/>
          <w:sz w:val="24"/>
          <w:szCs w:val="24"/>
        </w:rPr>
        <w:t xml:space="preserve"> gdje je planiran iznos od </w:t>
      </w:r>
      <w:r w:rsidR="00DE35FB">
        <w:rPr>
          <w:rFonts w:ascii="Times New Roman" w:hAnsi="Times New Roman" w:cs="Times New Roman"/>
          <w:sz w:val="24"/>
          <w:szCs w:val="24"/>
        </w:rPr>
        <w:t>146.478.345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za 202</w:t>
      </w:r>
      <w:r w:rsidR="00DE35FB">
        <w:rPr>
          <w:rFonts w:ascii="Times New Roman" w:hAnsi="Times New Roman" w:cs="Times New Roman"/>
          <w:sz w:val="24"/>
          <w:szCs w:val="24"/>
        </w:rPr>
        <w:t>6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od čega najviše </w:t>
      </w:r>
      <w:r w:rsidR="00520E8F">
        <w:rPr>
          <w:rFonts w:ascii="Times New Roman" w:hAnsi="Times New Roman" w:cs="Times New Roman"/>
          <w:sz w:val="24"/>
          <w:szCs w:val="24"/>
        </w:rPr>
        <w:t>na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i/>
          <w:sz w:val="24"/>
          <w:szCs w:val="24"/>
        </w:rPr>
        <w:t>izvor</w:t>
      </w:r>
      <w:r w:rsidR="00520E8F">
        <w:rPr>
          <w:rFonts w:ascii="Times New Roman" w:hAnsi="Times New Roman" w:cs="Times New Roman"/>
          <w:i/>
          <w:sz w:val="24"/>
          <w:szCs w:val="24"/>
        </w:rPr>
        <w:t>u</w:t>
      </w:r>
      <w:r w:rsidRPr="00241E61">
        <w:rPr>
          <w:rFonts w:ascii="Times New Roman" w:hAnsi="Times New Roman" w:cs="Times New Roman"/>
          <w:i/>
          <w:sz w:val="24"/>
          <w:szCs w:val="24"/>
        </w:rPr>
        <w:t xml:space="preserve"> financiranja 43 Ostali prihodi za posebne namjene</w:t>
      </w:r>
      <w:r w:rsidRPr="00241E61">
        <w:rPr>
          <w:rFonts w:ascii="Times New Roman" w:hAnsi="Times New Roman" w:cs="Times New Roman"/>
          <w:sz w:val="24"/>
          <w:szCs w:val="24"/>
        </w:rPr>
        <w:t>. Za 202</w:t>
      </w:r>
      <w:r w:rsidR="00DE35FB">
        <w:rPr>
          <w:rFonts w:ascii="Times New Roman" w:hAnsi="Times New Roman" w:cs="Times New Roman"/>
          <w:sz w:val="24"/>
          <w:szCs w:val="24"/>
        </w:rPr>
        <w:t>7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planiran je iznos od </w:t>
      </w:r>
      <w:r w:rsidR="00DE35FB">
        <w:rPr>
          <w:rFonts w:ascii="Times New Roman" w:hAnsi="Times New Roman" w:cs="Times New Roman"/>
          <w:sz w:val="24"/>
          <w:szCs w:val="24"/>
        </w:rPr>
        <w:t>151.400.776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</w:t>
      </w:r>
      <w:r w:rsidR="00E615DA">
        <w:rPr>
          <w:rFonts w:ascii="Times New Roman" w:hAnsi="Times New Roman" w:cs="Times New Roman"/>
          <w:sz w:val="24"/>
          <w:szCs w:val="24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>, te za 202</w:t>
      </w:r>
      <w:r w:rsidR="00AA32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241E61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DE35FB">
        <w:rPr>
          <w:rFonts w:ascii="Times New Roman" w:hAnsi="Times New Roman" w:cs="Times New Roman"/>
          <w:sz w:val="24"/>
          <w:szCs w:val="24"/>
        </w:rPr>
        <w:t>160.436.561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  <w:r w:rsidR="008D1F60">
        <w:rPr>
          <w:rFonts w:ascii="Times New Roman" w:hAnsi="Times New Roman" w:cs="Times New Roman"/>
          <w:sz w:val="24"/>
          <w:szCs w:val="24"/>
        </w:rPr>
        <w:t xml:space="preserve"> </w:t>
      </w:r>
      <w:r w:rsidR="000C5CC1">
        <w:rPr>
          <w:rFonts w:ascii="Times New Roman" w:hAnsi="Times New Roman" w:cs="Times New Roman"/>
          <w:sz w:val="24"/>
          <w:szCs w:val="24"/>
        </w:rPr>
        <w:t>R</w:t>
      </w:r>
      <w:r w:rsidRPr="00241E61">
        <w:rPr>
          <w:rFonts w:ascii="Times New Roman" w:hAnsi="Times New Roman" w:cs="Times New Roman"/>
          <w:sz w:val="24"/>
          <w:szCs w:val="24"/>
        </w:rPr>
        <w:t xml:space="preserve">ashodi </w:t>
      </w:r>
      <w:r w:rsidR="000C5CC1">
        <w:rPr>
          <w:rFonts w:ascii="Times New Roman" w:hAnsi="Times New Roman" w:cs="Times New Roman"/>
          <w:sz w:val="24"/>
          <w:szCs w:val="24"/>
        </w:rPr>
        <w:t xml:space="preserve">iz skupine konta 32 </w:t>
      </w:r>
      <w:r w:rsidRPr="00241E61">
        <w:rPr>
          <w:rFonts w:ascii="Times New Roman" w:hAnsi="Times New Roman" w:cs="Times New Roman"/>
          <w:sz w:val="24"/>
          <w:szCs w:val="24"/>
        </w:rPr>
        <w:t xml:space="preserve">direktno </w:t>
      </w:r>
      <w:r w:rsidR="000C5CC1">
        <w:rPr>
          <w:rFonts w:ascii="Times New Roman" w:hAnsi="Times New Roman" w:cs="Times New Roman"/>
          <w:sz w:val="24"/>
          <w:szCs w:val="24"/>
        </w:rPr>
        <w:t xml:space="preserve">su </w:t>
      </w:r>
      <w:r w:rsidRPr="00241E61">
        <w:rPr>
          <w:rFonts w:ascii="Times New Roman" w:hAnsi="Times New Roman" w:cs="Times New Roman"/>
          <w:sz w:val="24"/>
          <w:szCs w:val="24"/>
        </w:rPr>
        <w:t xml:space="preserve">usmjereni na liječenje bolesnika, te najvećim dijelom obuhvaćaju nabavu lijekova, potrošnog medicinskog materijala, krvi i krvnih derivata, kao i tekuće i investicijsko održavanje medicinske opreme, komunalne usluge i </w:t>
      </w:r>
      <w:r>
        <w:rPr>
          <w:rFonts w:ascii="Times New Roman" w:hAnsi="Times New Roman" w:cs="Times New Roman"/>
          <w:sz w:val="24"/>
          <w:szCs w:val="24"/>
        </w:rPr>
        <w:t>slično</w:t>
      </w:r>
      <w:r w:rsidR="00E615DA">
        <w:rPr>
          <w:rFonts w:ascii="Times New Roman" w:hAnsi="Times New Roman" w:cs="Times New Roman"/>
          <w:sz w:val="24"/>
          <w:szCs w:val="24"/>
        </w:rPr>
        <w:t>.</w:t>
      </w:r>
    </w:p>
    <w:p w:rsidR="00194E15" w:rsidRDefault="00194E15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lastRenderedPageBreak/>
        <w:t>U rashodima razreda 4 Rashodi za nabavu nefinancijske imovine</w:t>
      </w:r>
      <w:r w:rsidR="00A62029">
        <w:rPr>
          <w:rFonts w:ascii="Times New Roman" w:hAnsi="Times New Roman" w:cs="Times New Roman"/>
          <w:sz w:val="24"/>
          <w:szCs w:val="24"/>
        </w:rPr>
        <w:t xml:space="preserve"> planirali smo za 202</w:t>
      </w:r>
      <w:r w:rsidR="00DE35FB">
        <w:rPr>
          <w:rFonts w:ascii="Times New Roman" w:hAnsi="Times New Roman" w:cs="Times New Roman"/>
          <w:sz w:val="24"/>
          <w:szCs w:val="24"/>
        </w:rPr>
        <w:t>6</w:t>
      </w:r>
      <w:r w:rsidR="00A62029">
        <w:rPr>
          <w:rFonts w:ascii="Times New Roman" w:hAnsi="Times New Roman" w:cs="Times New Roman"/>
          <w:sz w:val="24"/>
          <w:szCs w:val="24"/>
        </w:rPr>
        <w:t xml:space="preserve">. godinu </w:t>
      </w:r>
      <w:r w:rsidR="007D5087">
        <w:rPr>
          <w:rFonts w:ascii="Times New Roman" w:hAnsi="Times New Roman" w:cs="Times New Roman"/>
          <w:sz w:val="24"/>
          <w:szCs w:val="24"/>
        </w:rPr>
        <w:t>65.112.295</w:t>
      </w:r>
      <w:r w:rsidR="00A62029">
        <w:rPr>
          <w:rFonts w:ascii="Times New Roman" w:hAnsi="Times New Roman" w:cs="Times New Roman"/>
          <w:sz w:val="24"/>
          <w:szCs w:val="24"/>
        </w:rPr>
        <w:t xml:space="preserve"> eura od kojih se</w:t>
      </w:r>
      <w:r w:rsidR="00FE2366">
        <w:rPr>
          <w:rFonts w:ascii="Times New Roman" w:hAnsi="Times New Roman" w:cs="Times New Roman"/>
          <w:sz w:val="24"/>
          <w:szCs w:val="24"/>
        </w:rPr>
        <w:t xml:space="preserve"> najveći di</w:t>
      </w:r>
      <w:r w:rsidR="00890888">
        <w:rPr>
          <w:rFonts w:ascii="Times New Roman" w:hAnsi="Times New Roman" w:cs="Times New Roman"/>
          <w:sz w:val="24"/>
          <w:szCs w:val="24"/>
        </w:rPr>
        <w:t xml:space="preserve">o planiranih sredstava odnosi 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b/>
          <w:sz w:val="24"/>
          <w:szCs w:val="24"/>
        </w:rPr>
        <w:t>na skupin</w:t>
      </w:r>
      <w:r w:rsidR="00A62029">
        <w:rPr>
          <w:rFonts w:ascii="Times New Roman" w:hAnsi="Times New Roman" w:cs="Times New Roman"/>
          <w:b/>
          <w:sz w:val="24"/>
          <w:szCs w:val="24"/>
        </w:rPr>
        <w:t>u</w:t>
      </w:r>
      <w:r w:rsidRPr="00241E61">
        <w:rPr>
          <w:rFonts w:ascii="Times New Roman" w:hAnsi="Times New Roman" w:cs="Times New Roman"/>
          <w:b/>
          <w:sz w:val="24"/>
          <w:szCs w:val="24"/>
        </w:rPr>
        <w:t xml:space="preserve"> konta 45</w:t>
      </w:r>
      <w:r w:rsidRPr="00241E61">
        <w:rPr>
          <w:rFonts w:ascii="Times New Roman" w:hAnsi="Times New Roman" w:cs="Times New Roman"/>
          <w:sz w:val="24"/>
          <w:szCs w:val="24"/>
        </w:rPr>
        <w:t xml:space="preserve"> Rashodi za dodatna ulaganja na nefinancijskoj imovini</w:t>
      </w:r>
      <w:r w:rsidR="00FE2366">
        <w:rPr>
          <w:rFonts w:ascii="Times New Roman" w:hAnsi="Times New Roman" w:cs="Times New Roman"/>
          <w:sz w:val="24"/>
          <w:szCs w:val="24"/>
        </w:rPr>
        <w:t xml:space="preserve"> gdje </w:t>
      </w:r>
      <w:r w:rsidR="005C6DFB">
        <w:rPr>
          <w:rFonts w:ascii="Times New Roman" w:hAnsi="Times New Roman" w:cs="Times New Roman"/>
          <w:sz w:val="24"/>
          <w:szCs w:val="24"/>
        </w:rPr>
        <w:t>se iznos od</w:t>
      </w:r>
      <w:r w:rsidR="00FE2366">
        <w:rPr>
          <w:rFonts w:ascii="Times New Roman" w:hAnsi="Times New Roman" w:cs="Times New Roman"/>
          <w:sz w:val="24"/>
          <w:szCs w:val="24"/>
        </w:rPr>
        <w:t xml:space="preserve"> </w:t>
      </w:r>
      <w:r w:rsidR="00DE35FB">
        <w:rPr>
          <w:rFonts w:ascii="Times New Roman" w:hAnsi="Times New Roman" w:cs="Times New Roman"/>
          <w:sz w:val="24"/>
          <w:szCs w:val="24"/>
        </w:rPr>
        <w:t>42.005.188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</w:t>
      </w:r>
      <w:r w:rsidR="00FE2366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5C6DFB">
        <w:rPr>
          <w:rFonts w:ascii="Times New Roman" w:hAnsi="Times New Roman" w:cs="Times New Roman"/>
          <w:sz w:val="24"/>
          <w:szCs w:val="24"/>
        </w:rPr>
        <w:t xml:space="preserve">odnosi na </w:t>
      </w:r>
      <w:r w:rsidRPr="00241E61">
        <w:rPr>
          <w:rFonts w:ascii="Times New Roman" w:hAnsi="Times New Roman" w:cs="Times New Roman"/>
          <w:sz w:val="24"/>
          <w:szCs w:val="24"/>
        </w:rPr>
        <w:t>sanaci</w:t>
      </w:r>
      <w:r w:rsidR="00FE2366">
        <w:rPr>
          <w:rFonts w:ascii="Times New Roman" w:hAnsi="Times New Roman" w:cs="Times New Roman"/>
          <w:sz w:val="24"/>
          <w:szCs w:val="24"/>
        </w:rPr>
        <w:t>j</w:t>
      </w:r>
      <w:r w:rsidR="005C6DFB">
        <w:rPr>
          <w:rFonts w:ascii="Times New Roman" w:hAnsi="Times New Roman" w:cs="Times New Roman"/>
          <w:sz w:val="24"/>
          <w:szCs w:val="24"/>
        </w:rPr>
        <w:t>u</w:t>
      </w:r>
      <w:r w:rsidRPr="00241E61">
        <w:rPr>
          <w:rFonts w:ascii="Times New Roman" w:hAnsi="Times New Roman" w:cs="Times New Roman"/>
          <w:sz w:val="24"/>
          <w:szCs w:val="24"/>
        </w:rPr>
        <w:t xml:space="preserve"> štet</w:t>
      </w:r>
      <w:r w:rsidR="00A16D4D">
        <w:rPr>
          <w:rFonts w:ascii="Times New Roman" w:hAnsi="Times New Roman" w:cs="Times New Roman"/>
          <w:sz w:val="24"/>
          <w:szCs w:val="24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 xml:space="preserve"> od potresa. Projekcija</w:t>
      </w:r>
      <w:r w:rsidR="000179F5">
        <w:rPr>
          <w:rFonts w:ascii="Times New Roman" w:hAnsi="Times New Roman" w:cs="Times New Roman"/>
          <w:sz w:val="24"/>
          <w:szCs w:val="24"/>
        </w:rPr>
        <w:t xml:space="preserve"> na razini razreda 4</w:t>
      </w:r>
      <w:r w:rsidRPr="00241E61">
        <w:rPr>
          <w:rFonts w:ascii="Times New Roman" w:hAnsi="Times New Roman" w:cs="Times New Roman"/>
          <w:sz w:val="24"/>
          <w:szCs w:val="24"/>
        </w:rPr>
        <w:t xml:space="preserve"> za 202</w:t>
      </w:r>
      <w:r w:rsidR="00DE35FB">
        <w:rPr>
          <w:rFonts w:ascii="Times New Roman" w:hAnsi="Times New Roman" w:cs="Times New Roman"/>
          <w:sz w:val="24"/>
          <w:szCs w:val="24"/>
        </w:rPr>
        <w:t>7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DE35FB">
        <w:rPr>
          <w:rFonts w:ascii="Times New Roman" w:hAnsi="Times New Roman" w:cs="Times New Roman"/>
          <w:sz w:val="24"/>
          <w:szCs w:val="24"/>
        </w:rPr>
        <w:t>10.201.648</w:t>
      </w:r>
      <w:r w:rsidR="00A26795">
        <w:rPr>
          <w:rFonts w:ascii="Times New Roman" w:hAnsi="Times New Roman" w:cs="Times New Roman"/>
          <w:sz w:val="24"/>
          <w:szCs w:val="24"/>
        </w:rPr>
        <w:t xml:space="preserve"> eur</w:t>
      </w:r>
      <w:r w:rsidR="00A62029">
        <w:rPr>
          <w:rFonts w:ascii="Times New Roman" w:hAnsi="Times New Roman" w:cs="Times New Roman"/>
          <w:sz w:val="24"/>
          <w:szCs w:val="24"/>
        </w:rPr>
        <w:t>a</w:t>
      </w:r>
      <w:r w:rsidR="000C5C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dok je za 202</w:t>
      </w:r>
      <w:r w:rsidR="00DE35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 p</w:t>
      </w:r>
      <w:r w:rsidR="00773507">
        <w:rPr>
          <w:rFonts w:ascii="Times New Roman" w:hAnsi="Times New Roman" w:cs="Times New Roman"/>
          <w:sz w:val="24"/>
          <w:szCs w:val="24"/>
        </w:rPr>
        <w:t>lanira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DE35FB">
        <w:rPr>
          <w:rFonts w:ascii="Times New Roman" w:hAnsi="Times New Roman" w:cs="Times New Roman"/>
          <w:sz w:val="24"/>
          <w:szCs w:val="24"/>
        </w:rPr>
        <w:t>14.319.688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AA3250" w:rsidRDefault="00AA3250" w:rsidP="00BF1A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024C" w:rsidRPr="00B72343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343">
        <w:rPr>
          <w:rFonts w:ascii="Times New Roman" w:hAnsi="Times New Roman" w:cs="Times New Roman"/>
          <w:b/>
          <w:sz w:val="24"/>
          <w:szCs w:val="24"/>
        </w:rPr>
        <w:t>PRIJENOS SREDSTAVA IZ PRETHODNE I U SL</w:t>
      </w:r>
      <w:r w:rsidR="00C4277B">
        <w:rPr>
          <w:rFonts w:ascii="Times New Roman" w:hAnsi="Times New Roman" w:cs="Times New Roman"/>
          <w:b/>
          <w:sz w:val="24"/>
          <w:szCs w:val="24"/>
        </w:rPr>
        <w:t>I</w:t>
      </w:r>
      <w:r w:rsidRPr="00B72343">
        <w:rPr>
          <w:rFonts w:ascii="Times New Roman" w:hAnsi="Times New Roman" w:cs="Times New Roman"/>
          <w:b/>
          <w:sz w:val="24"/>
          <w:szCs w:val="24"/>
        </w:rPr>
        <w:t>JEDEĆU GODINU</w:t>
      </w:r>
    </w:p>
    <w:p w:rsidR="009E024C" w:rsidRPr="00241E61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b/>
          <w:sz w:val="24"/>
          <w:szCs w:val="24"/>
        </w:rPr>
        <w:tab/>
      </w:r>
      <w:r w:rsidRPr="00241E61">
        <w:rPr>
          <w:rFonts w:ascii="Times New Roman" w:hAnsi="Times New Roman" w:cs="Times New Roman"/>
          <w:sz w:val="24"/>
          <w:szCs w:val="24"/>
        </w:rPr>
        <w:t>Razlika između ukupnih prihoda</w:t>
      </w:r>
      <w:r w:rsidR="00AC4339">
        <w:rPr>
          <w:rFonts w:ascii="Times New Roman" w:hAnsi="Times New Roman" w:cs="Times New Roman"/>
          <w:sz w:val="24"/>
          <w:szCs w:val="24"/>
        </w:rPr>
        <w:t xml:space="preserve"> i primitaka</w:t>
      </w:r>
      <w:r w:rsidRPr="00241E61">
        <w:rPr>
          <w:rFonts w:ascii="Times New Roman" w:hAnsi="Times New Roman" w:cs="Times New Roman"/>
          <w:sz w:val="24"/>
          <w:szCs w:val="24"/>
        </w:rPr>
        <w:t xml:space="preserve"> i ukupnih rashoda</w:t>
      </w:r>
      <w:r w:rsidR="00A16D4D">
        <w:rPr>
          <w:rFonts w:ascii="Times New Roman" w:hAnsi="Times New Roman" w:cs="Times New Roman"/>
          <w:sz w:val="24"/>
          <w:szCs w:val="24"/>
        </w:rPr>
        <w:t xml:space="preserve"> i izdataka</w:t>
      </w:r>
      <w:r w:rsidRPr="00241E61">
        <w:rPr>
          <w:rFonts w:ascii="Times New Roman" w:hAnsi="Times New Roman" w:cs="Times New Roman"/>
          <w:sz w:val="24"/>
          <w:szCs w:val="24"/>
        </w:rPr>
        <w:t xml:space="preserve"> je </w:t>
      </w:r>
      <w:r w:rsidR="00076FFD">
        <w:rPr>
          <w:rFonts w:ascii="Times New Roman" w:hAnsi="Times New Roman" w:cs="Times New Roman"/>
          <w:sz w:val="24"/>
          <w:szCs w:val="24"/>
        </w:rPr>
        <w:t>458.417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076F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241E61">
        <w:rPr>
          <w:rFonts w:ascii="Times New Roman" w:hAnsi="Times New Roman" w:cs="Times New Roman"/>
          <w:sz w:val="24"/>
          <w:szCs w:val="24"/>
        </w:rPr>
        <w:t>, te se financijski plan uravnotežuje prenesenim sr</w:t>
      </w:r>
      <w:r w:rsidR="000C5CC1">
        <w:rPr>
          <w:rFonts w:ascii="Times New Roman" w:hAnsi="Times New Roman" w:cs="Times New Roman"/>
          <w:sz w:val="24"/>
          <w:szCs w:val="24"/>
        </w:rPr>
        <w:t xml:space="preserve">edstvima iz prethodne godine u iznosu od </w:t>
      </w:r>
      <w:r w:rsidR="00076FFD">
        <w:rPr>
          <w:rFonts w:ascii="Times New Roman" w:hAnsi="Times New Roman" w:cs="Times New Roman"/>
          <w:sz w:val="24"/>
          <w:szCs w:val="24"/>
        </w:rPr>
        <w:t>1.</w:t>
      </w:r>
      <w:r w:rsidR="001E4E3B">
        <w:rPr>
          <w:rFonts w:ascii="Times New Roman" w:hAnsi="Times New Roman" w:cs="Times New Roman"/>
          <w:sz w:val="24"/>
          <w:szCs w:val="24"/>
        </w:rPr>
        <w:t>485.465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eura, te planiranim prijenosom sredstava u iduću godinu u iznosu od </w:t>
      </w:r>
      <w:r w:rsidR="001E4E3B">
        <w:rPr>
          <w:rFonts w:ascii="Times New Roman" w:hAnsi="Times New Roman" w:cs="Times New Roman"/>
          <w:sz w:val="24"/>
          <w:szCs w:val="24"/>
        </w:rPr>
        <w:t>1.027.048</w:t>
      </w:r>
      <w:r w:rsidR="00AC4339"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eura.</w:t>
      </w:r>
    </w:p>
    <w:p w:rsidR="009E024C" w:rsidRPr="00241E61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ab/>
      </w:r>
      <w:r w:rsidRPr="00E86146">
        <w:rPr>
          <w:rFonts w:ascii="Times New Roman" w:hAnsi="Times New Roman" w:cs="Times New Roman"/>
          <w:sz w:val="24"/>
          <w:szCs w:val="24"/>
        </w:rPr>
        <w:t>U 202</w:t>
      </w:r>
      <w:r w:rsidR="00076FFD" w:rsidRPr="00E86146">
        <w:rPr>
          <w:rFonts w:ascii="Times New Roman" w:hAnsi="Times New Roman" w:cs="Times New Roman"/>
          <w:sz w:val="24"/>
          <w:szCs w:val="24"/>
        </w:rPr>
        <w:t>5</w:t>
      </w:r>
      <w:r w:rsidRPr="00E86146">
        <w:rPr>
          <w:rFonts w:ascii="Times New Roman" w:hAnsi="Times New Roman" w:cs="Times New Roman"/>
          <w:sz w:val="24"/>
          <w:szCs w:val="24"/>
        </w:rPr>
        <w:t>. godini na vlastitim prihodima (</w:t>
      </w:r>
      <w:r w:rsidR="00DC5F20" w:rsidRPr="00E86146">
        <w:rPr>
          <w:rFonts w:ascii="Times New Roman" w:hAnsi="Times New Roman" w:cs="Times New Roman"/>
          <w:sz w:val="24"/>
          <w:szCs w:val="24"/>
        </w:rPr>
        <w:t>izvor financiranja</w:t>
      </w:r>
      <w:r w:rsidRPr="00E86146">
        <w:rPr>
          <w:rFonts w:ascii="Times New Roman" w:hAnsi="Times New Roman" w:cs="Times New Roman"/>
          <w:sz w:val="24"/>
          <w:szCs w:val="24"/>
        </w:rPr>
        <w:t xml:space="preserve"> 31) planiran je neutrošen iznos od </w:t>
      </w:r>
      <w:r w:rsidR="00076FFD" w:rsidRPr="00E86146">
        <w:rPr>
          <w:rFonts w:ascii="Times New Roman" w:hAnsi="Times New Roman" w:cs="Times New Roman"/>
          <w:sz w:val="24"/>
          <w:szCs w:val="24"/>
        </w:rPr>
        <w:t>24.800</w:t>
      </w:r>
      <w:r w:rsidRPr="00E86146">
        <w:rPr>
          <w:rFonts w:ascii="Times New Roman" w:hAnsi="Times New Roman" w:cs="Times New Roman"/>
          <w:sz w:val="24"/>
          <w:szCs w:val="24"/>
        </w:rPr>
        <w:t xml:space="preserve"> eura radi neisplaćenih honorara za klinička ispitivanja koja se planiraju realizirati početkom 202</w:t>
      </w:r>
      <w:r w:rsidR="00076FFD" w:rsidRPr="00E86146">
        <w:rPr>
          <w:rFonts w:ascii="Times New Roman" w:hAnsi="Times New Roman" w:cs="Times New Roman"/>
          <w:sz w:val="24"/>
          <w:szCs w:val="24"/>
        </w:rPr>
        <w:t>6</w:t>
      </w:r>
      <w:r w:rsidRPr="00E86146">
        <w:rPr>
          <w:rFonts w:ascii="Times New Roman" w:hAnsi="Times New Roman" w:cs="Times New Roman"/>
          <w:sz w:val="24"/>
          <w:szCs w:val="24"/>
        </w:rPr>
        <w:t xml:space="preserve">. godine. Također očekujemo da će i krajem </w:t>
      </w:r>
      <w:r w:rsidR="00E96F3B" w:rsidRPr="00E86146">
        <w:rPr>
          <w:rFonts w:ascii="Times New Roman" w:hAnsi="Times New Roman" w:cs="Times New Roman"/>
          <w:sz w:val="24"/>
          <w:szCs w:val="24"/>
        </w:rPr>
        <w:t>202</w:t>
      </w:r>
      <w:r w:rsidR="00076FFD" w:rsidRPr="00E86146">
        <w:rPr>
          <w:rFonts w:ascii="Times New Roman" w:hAnsi="Times New Roman" w:cs="Times New Roman"/>
          <w:sz w:val="24"/>
          <w:szCs w:val="24"/>
        </w:rPr>
        <w:t>6</w:t>
      </w:r>
      <w:r w:rsidRPr="00E86146">
        <w:rPr>
          <w:rFonts w:ascii="Times New Roman" w:hAnsi="Times New Roman" w:cs="Times New Roman"/>
          <w:sz w:val="24"/>
          <w:szCs w:val="24"/>
        </w:rPr>
        <w:t xml:space="preserve">. godine na istom izvoru ostati iznos od </w:t>
      </w:r>
      <w:r w:rsidR="00076FFD" w:rsidRPr="00E86146">
        <w:rPr>
          <w:rFonts w:ascii="Times New Roman" w:hAnsi="Times New Roman" w:cs="Times New Roman"/>
          <w:sz w:val="24"/>
          <w:szCs w:val="24"/>
        </w:rPr>
        <w:t>21.300</w:t>
      </w:r>
      <w:r w:rsidRPr="00E86146">
        <w:rPr>
          <w:rFonts w:ascii="Times New Roman" w:hAnsi="Times New Roman" w:cs="Times New Roman"/>
          <w:sz w:val="24"/>
          <w:szCs w:val="24"/>
        </w:rPr>
        <w:t xml:space="preserve"> eura koje ćemo prenijeti u narednu godinu, kao i iznos od </w:t>
      </w:r>
      <w:r w:rsidR="00076FFD" w:rsidRPr="00E86146">
        <w:rPr>
          <w:rFonts w:ascii="Times New Roman" w:hAnsi="Times New Roman" w:cs="Times New Roman"/>
          <w:sz w:val="24"/>
          <w:szCs w:val="24"/>
        </w:rPr>
        <w:t>18.500</w:t>
      </w:r>
      <w:r w:rsidRPr="00E86146">
        <w:rPr>
          <w:rFonts w:ascii="Times New Roman" w:hAnsi="Times New Roman" w:cs="Times New Roman"/>
          <w:sz w:val="24"/>
          <w:szCs w:val="24"/>
        </w:rPr>
        <w:t xml:space="preserve"> eura koji će ostati za prijenos u 202</w:t>
      </w:r>
      <w:r w:rsidR="00076FFD" w:rsidRPr="00E86146">
        <w:rPr>
          <w:rFonts w:ascii="Times New Roman" w:hAnsi="Times New Roman" w:cs="Times New Roman"/>
          <w:sz w:val="24"/>
          <w:szCs w:val="24"/>
        </w:rPr>
        <w:t>7</w:t>
      </w:r>
      <w:r w:rsidRPr="00E86146">
        <w:rPr>
          <w:rFonts w:ascii="Times New Roman" w:hAnsi="Times New Roman" w:cs="Times New Roman"/>
          <w:sz w:val="24"/>
          <w:szCs w:val="24"/>
        </w:rPr>
        <w:t>. godinu, a na kraju 202</w:t>
      </w:r>
      <w:r w:rsidR="00E86146" w:rsidRPr="00E86146">
        <w:rPr>
          <w:rFonts w:ascii="Times New Roman" w:hAnsi="Times New Roman" w:cs="Times New Roman"/>
          <w:sz w:val="24"/>
          <w:szCs w:val="24"/>
        </w:rPr>
        <w:t>8</w:t>
      </w:r>
      <w:r w:rsidRPr="00E86146">
        <w:rPr>
          <w:rFonts w:ascii="Times New Roman" w:hAnsi="Times New Roman" w:cs="Times New Roman"/>
          <w:sz w:val="24"/>
          <w:szCs w:val="24"/>
        </w:rPr>
        <w:t xml:space="preserve">. godine će planirano ostati </w:t>
      </w:r>
      <w:r w:rsidR="00E86146" w:rsidRPr="00E86146">
        <w:rPr>
          <w:rFonts w:ascii="Times New Roman" w:hAnsi="Times New Roman" w:cs="Times New Roman"/>
          <w:sz w:val="24"/>
          <w:szCs w:val="24"/>
        </w:rPr>
        <w:t>15.400</w:t>
      </w:r>
      <w:r w:rsidRPr="00E86146">
        <w:rPr>
          <w:rFonts w:ascii="Times New Roman" w:hAnsi="Times New Roman" w:cs="Times New Roman"/>
          <w:sz w:val="24"/>
          <w:szCs w:val="24"/>
        </w:rPr>
        <w:t xml:space="preserve"> eura</w:t>
      </w:r>
      <w:r w:rsidR="000C5CC1" w:rsidRPr="00E86146">
        <w:rPr>
          <w:rFonts w:ascii="Times New Roman" w:hAnsi="Times New Roman" w:cs="Times New Roman"/>
          <w:sz w:val="24"/>
          <w:szCs w:val="24"/>
        </w:rPr>
        <w:t xml:space="preserve"> za prijenos u narednu godinu</w:t>
      </w:r>
      <w:r w:rsidRPr="00E86146">
        <w:rPr>
          <w:rFonts w:ascii="Times New Roman" w:hAnsi="Times New Roman" w:cs="Times New Roman"/>
          <w:sz w:val="24"/>
          <w:szCs w:val="24"/>
        </w:rPr>
        <w:t>.</w:t>
      </w:r>
    </w:p>
    <w:p w:rsidR="004B4F00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ab/>
        <w:t>Na prihodima za posebne namjene (</w:t>
      </w:r>
      <w:r w:rsidR="00DC5F20">
        <w:rPr>
          <w:rFonts w:ascii="Times New Roman" w:hAnsi="Times New Roman" w:cs="Times New Roman"/>
          <w:sz w:val="24"/>
          <w:szCs w:val="24"/>
        </w:rPr>
        <w:t>izvor financiranja</w:t>
      </w:r>
      <w:r w:rsidRPr="00241E61">
        <w:rPr>
          <w:rFonts w:ascii="Times New Roman" w:hAnsi="Times New Roman" w:cs="Times New Roman"/>
          <w:sz w:val="24"/>
          <w:szCs w:val="24"/>
        </w:rPr>
        <w:t xml:space="preserve"> 43) </w:t>
      </w:r>
      <w:r>
        <w:rPr>
          <w:rFonts w:ascii="Times New Roman" w:hAnsi="Times New Roman" w:cs="Times New Roman"/>
          <w:sz w:val="24"/>
          <w:szCs w:val="24"/>
        </w:rPr>
        <w:t>planiramo prenijeti u 202</w:t>
      </w:r>
      <w:r w:rsidR="009C0A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241E61">
        <w:rPr>
          <w:rFonts w:ascii="Times New Roman" w:hAnsi="Times New Roman" w:cs="Times New Roman"/>
          <w:sz w:val="24"/>
          <w:szCs w:val="24"/>
        </w:rPr>
        <w:t xml:space="preserve">iznos od </w:t>
      </w:r>
      <w:r w:rsidR="009C0A89">
        <w:rPr>
          <w:rFonts w:ascii="Times New Roman" w:hAnsi="Times New Roman" w:cs="Times New Roman"/>
          <w:sz w:val="24"/>
          <w:szCs w:val="24"/>
        </w:rPr>
        <w:t>867.178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kojim će biti plaćeni lijekovi i potrošni medicinski materijal početkom godine sukladno dospjelosti obveza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4F00">
        <w:rPr>
          <w:rFonts w:ascii="Times New Roman" w:hAnsi="Times New Roman" w:cs="Times New Roman"/>
          <w:sz w:val="24"/>
          <w:szCs w:val="24"/>
        </w:rPr>
        <w:t>Krajem 202</w:t>
      </w:r>
      <w:r w:rsidR="009C0A89">
        <w:rPr>
          <w:rFonts w:ascii="Times New Roman" w:hAnsi="Times New Roman" w:cs="Times New Roman"/>
          <w:sz w:val="24"/>
          <w:szCs w:val="24"/>
        </w:rPr>
        <w:t>6</w:t>
      </w:r>
      <w:r w:rsidR="004B4F00">
        <w:rPr>
          <w:rFonts w:ascii="Times New Roman" w:hAnsi="Times New Roman" w:cs="Times New Roman"/>
          <w:sz w:val="24"/>
          <w:szCs w:val="24"/>
        </w:rPr>
        <w:t xml:space="preserve">. </w:t>
      </w:r>
      <w:r w:rsidR="00A16D4D">
        <w:rPr>
          <w:rFonts w:ascii="Times New Roman" w:hAnsi="Times New Roman" w:cs="Times New Roman"/>
          <w:sz w:val="24"/>
          <w:szCs w:val="24"/>
        </w:rPr>
        <w:t xml:space="preserve">godine </w:t>
      </w:r>
      <w:r w:rsidR="004B4F00">
        <w:rPr>
          <w:rFonts w:ascii="Times New Roman" w:hAnsi="Times New Roman" w:cs="Times New Roman"/>
          <w:sz w:val="24"/>
          <w:szCs w:val="24"/>
        </w:rPr>
        <w:t>za prijenos</w:t>
      </w:r>
      <w:r w:rsidR="00A16D4D">
        <w:rPr>
          <w:rFonts w:ascii="Times New Roman" w:hAnsi="Times New Roman" w:cs="Times New Roman"/>
          <w:sz w:val="24"/>
          <w:szCs w:val="24"/>
        </w:rPr>
        <w:t xml:space="preserve"> u narednu godinu planiramo iznos od</w:t>
      </w:r>
      <w:r w:rsidR="004B4F00">
        <w:rPr>
          <w:rFonts w:ascii="Times New Roman" w:hAnsi="Times New Roman" w:cs="Times New Roman"/>
          <w:sz w:val="24"/>
          <w:szCs w:val="24"/>
        </w:rPr>
        <w:t xml:space="preserve"> </w:t>
      </w:r>
      <w:r w:rsidR="009C0A89">
        <w:rPr>
          <w:rFonts w:ascii="Times New Roman" w:hAnsi="Times New Roman" w:cs="Times New Roman"/>
          <w:sz w:val="24"/>
          <w:szCs w:val="24"/>
        </w:rPr>
        <w:t>734.272</w:t>
      </w:r>
      <w:r w:rsidR="004B4F00">
        <w:rPr>
          <w:rFonts w:ascii="Times New Roman" w:hAnsi="Times New Roman" w:cs="Times New Roman"/>
          <w:sz w:val="24"/>
          <w:szCs w:val="24"/>
        </w:rPr>
        <w:t xml:space="preserve"> eura, a krajem 202</w:t>
      </w:r>
      <w:r w:rsidR="009C0A89">
        <w:rPr>
          <w:rFonts w:ascii="Times New Roman" w:hAnsi="Times New Roman" w:cs="Times New Roman"/>
          <w:sz w:val="24"/>
          <w:szCs w:val="24"/>
        </w:rPr>
        <w:t>7</w:t>
      </w:r>
      <w:r w:rsidR="004B4F00">
        <w:rPr>
          <w:rFonts w:ascii="Times New Roman" w:hAnsi="Times New Roman" w:cs="Times New Roman"/>
          <w:sz w:val="24"/>
          <w:szCs w:val="24"/>
        </w:rPr>
        <w:t xml:space="preserve">. </w:t>
      </w:r>
      <w:r w:rsidR="00A16D4D">
        <w:rPr>
          <w:rFonts w:ascii="Times New Roman" w:hAnsi="Times New Roman" w:cs="Times New Roman"/>
          <w:sz w:val="24"/>
          <w:szCs w:val="24"/>
        </w:rPr>
        <w:t>godine</w:t>
      </w:r>
      <w:r w:rsidR="004B4F00">
        <w:rPr>
          <w:rFonts w:ascii="Times New Roman" w:hAnsi="Times New Roman" w:cs="Times New Roman"/>
          <w:sz w:val="24"/>
          <w:szCs w:val="24"/>
        </w:rPr>
        <w:t xml:space="preserve"> ćemo </w:t>
      </w:r>
      <w:r w:rsidR="00925277">
        <w:rPr>
          <w:rFonts w:ascii="Times New Roman" w:hAnsi="Times New Roman" w:cs="Times New Roman"/>
          <w:sz w:val="24"/>
          <w:szCs w:val="24"/>
        </w:rPr>
        <w:t xml:space="preserve">prenijeti </w:t>
      </w:r>
      <w:r w:rsidR="009C0A89">
        <w:rPr>
          <w:rFonts w:ascii="Times New Roman" w:hAnsi="Times New Roman" w:cs="Times New Roman"/>
          <w:sz w:val="24"/>
          <w:szCs w:val="24"/>
        </w:rPr>
        <w:t>656.270</w:t>
      </w:r>
      <w:r w:rsidR="00925277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9C0A89">
        <w:rPr>
          <w:rFonts w:ascii="Times New Roman" w:hAnsi="Times New Roman" w:cs="Times New Roman"/>
          <w:sz w:val="24"/>
          <w:szCs w:val="24"/>
        </w:rPr>
        <w:t>8</w:t>
      </w:r>
      <w:r w:rsidR="00925277">
        <w:rPr>
          <w:rFonts w:ascii="Times New Roman" w:hAnsi="Times New Roman" w:cs="Times New Roman"/>
          <w:sz w:val="24"/>
          <w:szCs w:val="24"/>
        </w:rPr>
        <w:t>. god</w:t>
      </w:r>
      <w:r w:rsidR="00A16D4D">
        <w:rPr>
          <w:rFonts w:ascii="Times New Roman" w:hAnsi="Times New Roman" w:cs="Times New Roman"/>
          <w:sz w:val="24"/>
          <w:szCs w:val="24"/>
        </w:rPr>
        <w:t>inu u kojoj se na kraju godine planira prenijeti u narednu godinu</w:t>
      </w:r>
      <w:r w:rsidR="00925277">
        <w:rPr>
          <w:rFonts w:ascii="Times New Roman" w:hAnsi="Times New Roman" w:cs="Times New Roman"/>
          <w:sz w:val="24"/>
          <w:szCs w:val="24"/>
        </w:rPr>
        <w:t xml:space="preserve"> </w:t>
      </w:r>
      <w:r w:rsidR="00A16D4D">
        <w:rPr>
          <w:rFonts w:ascii="Times New Roman" w:hAnsi="Times New Roman" w:cs="Times New Roman"/>
          <w:sz w:val="24"/>
          <w:szCs w:val="24"/>
        </w:rPr>
        <w:t xml:space="preserve">neutrošeni </w:t>
      </w:r>
      <w:r w:rsidR="00925277">
        <w:rPr>
          <w:rFonts w:ascii="Times New Roman" w:hAnsi="Times New Roman" w:cs="Times New Roman"/>
          <w:sz w:val="24"/>
          <w:szCs w:val="24"/>
        </w:rPr>
        <w:t xml:space="preserve">iznos od </w:t>
      </w:r>
      <w:r w:rsidR="009C0A89">
        <w:rPr>
          <w:rFonts w:ascii="Times New Roman" w:hAnsi="Times New Roman" w:cs="Times New Roman"/>
          <w:sz w:val="24"/>
          <w:szCs w:val="24"/>
        </w:rPr>
        <w:t>554.185</w:t>
      </w:r>
      <w:r w:rsidR="00925277">
        <w:rPr>
          <w:rFonts w:ascii="Times New Roman" w:hAnsi="Times New Roman" w:cs="Times New Roman"/>
          <w:sz w:val="24"/>
          <w:szCs w:val="24"/>
        </w:rPr>
        <w:t xml:space="preserve"> eura.</w:t>
      </w:r>
      <w:r w:rsidR="004B4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B8F" w:rsidRDefault="000F710D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3B8F" w:rsidRPr="00EE6CE6">
        <w:rPr>
          <w:rFonts w:ascii="Times New Roman" w:hAnsi="Times New Roman" w:cs="Times New Roman"/>
          <w:sz w:val="24"/>
          <w:szCs w:val="24"/>
        </w:rPr>
        <w:t>Na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prihodima</w:t>
      </w:r>
      <w:r w:rsidR="00303B8F">
        <w:rPr>
          <w:rFonts w:ascii="Times New Roman" w:hAnsi="Times New Roman" w:cs="Times New Roman"/>
          <w:sz w:val="24"/>
          <w:szCs w:val="24"/>
        </w:rPr>
        <w:t xml:space="preserve"> vezanim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za </w:t>
      </w:r>
      <w:r w:rsidR="00303B8F">
        <w:rPr>
          <w:rFonts w:ascii="Times New Roman" w:hAnsi="Times New Roman" w:cs="Times New Roman"/>
          <w:sz w:val="24"/>
          <w:szCs w:val="24"/>
        </w:rPr>
        <w:t xml:space="preserve">Programe Unije 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(izvor financiranja </w:t>
      </w:r>
      <w:r w:rsidR="00303B8F">
        <w:rPr>
          <w:rFonts w:ascii="Times New Roman" w:hAnsi="Times New Roman" w:cs="Times New Roman"/>
          <w:sz w:val="24"/>
          <w:szCs w:val="24"/>
        </w:rPr>
        <w:t>51</w:t>
      </w:r>
      <w:r w:rsidR="002A236D">
        <w:rPr>
          <w:rFonts w:ascii="Times New Roman" w:hAnsi="Times New Roman" w:cs="Times New Roman"/>
          <w:sz w:val="24"/>
          <w:szCs w:val="24"/>
        </w:rPr>
        <w:t>000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) planiramo prenijeti u 2026. godinu iznos od </w:t>
      </w:r>
      <w:r w:rsidR="001E4E3B">
        <w:rPr>
          <w:rFonts w:ascii="Times New Roman" w:hAnsi="Times New Roman" w:cs="Times New Roman"/>
          <w:sz w:val="24"/>
          <w:szCs w:val="24"/>
        </w:rPr>
        <w:t>179.651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eur</w:t>
      </w:r>
      <w:r w:rsidR="001E4E3B">
        <w:rPr>
          <w:rFonts w:ascii="Times New Roman" w:hAnsi="Times New Roman" w:cs="Times New Roman"/>
          <w:sz w:val="24"/>
          <w:szCs w:val="24"/>
        </w:rPr>
        <w:t>o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koji će biti</w:t>
      </w:r>
      <w:r w:rsidR="00EE6CE6">
        <w:rPr>
          <w:rFonts w:ascii="Times New Roman" w:hAnsi="Times New Roman" w:cs="Times New Roman"/>
          <w:sz w:val="24"/>
          <w:szCs w:val="24"/>
        </w:rPr>
        <w:t xml:space="preserve"> utrošen</w:t>
      </w:r>
      <w:r w:rsidR="00303B8F">
        <w:rPr>
          <w:rFonts w:ascii="Times New Roman" w:hAnsi="Times New Roman" w:cs="Times New Roman"/>
          <w:sz w:val="24"/>
          <w:szCs w:val="24"/>
        </w:rPr>
        <w:t xml:space="preserve"> za financiranje rashoda 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</w:t>
      </w:r>
      <w:r w:rsidR="00303B8F">
        <w:rPr>
          <w:rFonts w:ascii="Times New Roman" w:hAnsi="Times New Roman" w:cs="Times New Roman"/>
          <w:sz w:val="24"/>
          <w:szCs w:val="24"/>
        </w:rPr>
        <w:t>projekata JAN</w:t>
      </w:r>
      <w:r w:rsidR="00EE6CE6">
        <w:rPr>
          <w:rFonts w:ascii="Times New Roman" w:hAnsi="Times New Roman" w:cs="Times New Roman"/>
          <w:sz w:val="24"/>
          <w:szCs w:val="24"/>
        </w:rPr>
        <w:t>E</w:t>
      </w:r>
      <w:r w:rsidR="00FD42DA">
        <w:rPr>
          <w:rFonts w:ascii="Times New Roman" w:hAnsi="Times New Roman" w:cs="Times New Roman"/>
          <w:sz w:val="24"/>
          <w:szCs w:val="24"/>
        </w:rPr>
        <w:t>-</w:t>
      </w:r>
      <w:r w:rsidR="00303B8F">
        <w:rPr>
          <w:rFonts w:ascii="Times New Roman" w:hAnsi="Times New Roman" w:cs="Times New Roman"/>
          <w:sz w:val="24"/>
          <w:szCs w:val="24"/>
        </w:rPr>
        <w:t xml:space="preserve">2 </w:t>
      </w:r>
      <w:r w:rsidR="002A236D">
        <w:rPr>
          <w:rFonts w:ascii="Times New Roman" w:hAnsi="Times New Roman" w:cs="Times New Roman"/>
          <w:sz w:val="24"/>
          <w:szCs w:val="24"/>
        </w:rPr>
        <w:t>i</w:t>
      </w:r>
      <w:r w:rsidR="0030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8F">
        <w:rPr>
          <w:rFonts w:ascii="Times New Roman" w:hAnsi="Times New Roman" w:cs="Times New Roman"/>
          <w:sz w:val="24"/>
          <w:szCs w:val="24"/>
        </w:rPr>
        <w:t>EU</w:t>
      </w:r>
      <w:r w:rsidR="00110311">
        <w:rPr>
          <w:rFonts w:ascii="Times New Roman" w:hAnsi="Times New Roman" w:cs="Times New Roman"/>
          <w:sz w:val="24"/>
          <w:szCs w:val="24"/>
        </w:rPr>
        <w:t>N</w:t>
      </w:r>
      <w:r w:rsidR="00303B8F">
        <w:rPr>
          <w:rFonts w:ascii="Times New Roman" w:hAnsi="Times New Roman" w:cs="Times New Roman"/>
          <w:sz w:val="24"/>
          <w:szCs w:val="24"/>
        </w:rPr>
        <w:t>etCCC</w:t>
      </w:r>
      <w:proofErr w:type="spellEnd"/>
      <w:r w:rsidR="00303B8F">
        <w:rPr>
          <w:rFonts w:ascii="Times New Roman" w:hAnsi="Times New Roman" w:cs="Times New Roman"/>
          <w:sz w:val="24"/>
          <w:szCs w:val="24"/>
        </w:rPr>
        <w:t>.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Krajem 202</w:t>
      </w:r>
      <w:r w:rsidR="00303B8F">
        <w:rPr>
          <w:rFonts w:ascii="Times New Roman" w:hAnsi="Times New Roman" w:cs="Times New Roman"/>
          <w:sz w:val="24"/>
          <w:szCs w:val="24"/>
        </w:rPr>
        <w:t xml:space="preserve">6. </w:t>
      </w:r>
      <w:r w:rsidR="00EE6CE6">
        <w:rPr>
          <w:rFonts w:ascii="Times New Roman" w:hAnsi="Times New Roman" w:cs="Times New Roman"/>
          <w:sz w:val="24"/>
          <w:szCs w:val="24"/>
        </w:rPr>
        <w:t xml:space="preserve">godine 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očekujemo </w:t>
      </w:r>
      <w:r w:rsidR="00EE6CE6">
        <w:rPr>
          <w:rFonts w:ascii="Times New Roman" w:hAnsi="Times New Roman" w:cs="Times New Roman"/>
          <w:sz w:val="24"/>
          <w:szCs w:val="24"/>
        </w:rPr>
        <w:t>prijenos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</w:t>
      </w:r>
      <w:r w:rsidR="001E4E3B">
        <w:rPr>
          <w:rFonts w:ascii="Times New Roman" w:hAnsi="Times New Roman" w:cs="Times New Roman"/>
          <w:sz w:val="24"/>
          <w:szCs w:val="24"/>
        </w:rPr>
        <w:t>123.153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eura</w:t>
      </w:r>
      <w:r w:rsidR="00EE6CE6">
        <w:rPr>
          <w:rFonts w:ascii="Times New Roman" w:hAnsi="Times New Roman" w:cs="Times New Roman"/>
          <w:sz w:val="24"/>
          <w:szCs w:val="24"/>
        </w:rPr>
        <w:t xml:space="preserve"> u 2027. godinu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, a krajem 2027. </w:t>
      </w:r>
      <w:r w:rsidR="00EE6CE6">
        <w:rPr>
          <w:rFonts w:ascii="Times New Roman" w:hAnsi="Times New Roman" w:cs="Times New Roman"/>
          <w:sz w:val="24"/>
          <w:szCs w:val="24"/>
        </w:rPr>
        <w:t xml:space="preserve">godine prijenos </w:t>
      </w:r>
      <w:r w:rsidR="001E4E3B">
        <w:rPr>
          <w:rFonts w:ascii="Times New Roman" w:hAnsi="Times New Roman" w:cs="Times New Roman"/>
          <w:sz w:val="24"/>
          <w:szCs w:val="24"/>
        </w:rPr>
        <w:t>118.073</w:t>
      </w:r>
      <w:r w:rsidR="00303B8F" w:rsidRPr="00303B8F">
        <w:rPr>
          <w:rFonts w:ascii="Times New Roman" w:hAnsi="Times New Roman" w:cs="Times New Roman"/>
          <w:sz w:val="24"/>
          <w:szCs w:val="24"/>
        </w:rPr>
        <w:t xml:space="preserve"> eura u 2028. godinu</w:t>
      </w:r>
      <w:r w:rsidR="00EE6CE6">
        <w:rPr>
          <w:rFonts w:ascii="Times New Roman" w:hAnsi="Times New Roman" w:cs="Times New Roman"/>
          <w:sz w:val="24"/>
          <w:szCs w:val="24"/>
        </w:rPr>
        <w:t>. Na kraju 2028.</w:t>
      </w:r>
      <w:r w:rsidR="001E4E3B">
        <w:rPr>
          <w:rFonts w:ascii="Times New Roman" w:hAnsi="Times New Roman" w:cs="Times New Roman"/>
          <w:sz w:val="24"/>
          <w:szCs w:val="24"/>
        </w:rPr>
        <w:t xml:space="preserve"> godine </w:t>
      </w:r>
      <w:r w:rsidR="00EE6CE6">
        <w:rPr>
          <w:rFonts w:ascii="Times New Roman" w:hAnsi="Times New Roman" w:cs="Times New Roman"/>
          <w:sz w:val="24"/>
          <w:szCs w:val="24"/>
        </w:rPr>
        <w:t>planiramo prijenos u</w:t>
      </w:r>
      <w:r w:rsidR="001E4E3B">
        <w:rPr>
          <w:rFonts w:ascii="Times New Roman" w:hAnsi="Times New Roman" w:cs="Times New Roman"/>
          <w:sz w:val="24"/>
          <w:szCs w:val="24"/>
        </w:rPr>
        <w:t xml:space="preserve"> iznos</w:t>
      </w:r>
      <w:r w:rsidR="00EE6CE6">
        <w:rPr>
          <w:rFonts w:ascii="Times New Roman" w:hAnsi="Times New Roman" w:cs="Times New Roman"/>
          <w:sz w:val="24"/>
          <w:szCs w:val="24"/>
        </w:rPr>
        <w:t>u</w:t>
      </w:r>
      <w:r w:rsidR="001E4E3B">
        <w:rPr>
          <w:rFonts w:ascii="Times New Roman" w:hAnsi="Times New Roman" w:cs="Times New Roman"/>
          <w:sz w:val="24"/>
          <w:szCs w:val="24"/>
        </w:rPr>
        <w:t xml:space="preserve"> od 61.575 eura</w:t>
      </w:r>
      <w:r w:rsidR="00EE6CE6">
        <w:rPr>
          <w:rFonts w:ascii="Times New Roman" w:hAnsi="Times New Roman" w:cs="Times New Roman"/>
          <w:sz w:val="24"/>
          <w:szCs w:val="24"/>
        </w:rPr>
        <w:t xml:space="preserve"> u 2029. godinu.</w:t>
      </w:r>
    </w:p>
    <w:p w:rsidR="009E024C" w:rsidRPr="00241E61" w:rsidRDefault="00912D7C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 </w:t>
      </w:r>
      <w:r w:rsidR="00DC5F20">
        <w:rPr>
          <w:rFonts w:ascii="Times New Roman" w:hAnsi="Times New Roman" w:cs="Times New Roman"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DC5F20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 52 (Ostale pomoći) iz 202</w:t>
      </w:r>
      <w:r w:rsidR="009C0A89">
        <w:rPr>
          <w:rFonts w:ascii="Times New Roman" w:hAnsi="Times New Roman" w:cs="Times New Roman"/>
          <w:sz w:val="24"/>
          <w:szCs w:val="24"/>
        </w:rPr>
        <w:t>5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. godine </w:t>
      </w:r>
      <w:r w:rsidR="009E024C">
        <w:rPr>
          <w:rFonts w:ascii="Times New Roman" w:hAnsi="Times New Roman" w:cs="Times New Roman"/>
          <w:sz w:val="24"/>
          <w:szCs w:val="24"/>
        </w:rPr>
        <w:t>planiramo pren</w:t>
      </w:r>
      <w:r w:rsidR="009E024C" w:rsidRPr="00241E61">
        <w:rPr>
          <w:rFonts w:ascii="Times New Roman" w:hAnsi="Times New Roman" w:cs="Times New Roman"/>
          <w:sz w:val="24"/>
          <w:szCs w:val="24"/>
        </w:rPr>
        <w:t>i</w:t>
      </w:r>
      <w:r w:rsidR="009E024C">
        <w:rPr>
          <w:rFonts w:ascii="Times New Roman" w:hAnsi="Times New Roman" w:cs="Times New Roman"/>
          <w:sz w:val="24"/>
          <w:szCs w:val="24"/>
        </w:rPr>
        <w:t>jeti</w:t>
      </w:r>
      <w:r w:rsidR="00CC4127">
        <w:rPr>
          <w:rFonts w:ascii="Times New Roman" w:hAnsi="Times New Roman" w:cs="Times New Roman"/>
          <w:sz w:val="24"/>
          <w:szCs w:val="24"/>
        </w:rPr>
        <w:t xml:space="preserve"> neutrošena sredstva u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 iznos</w:t>
      </w:r>
      <w:r w:rsidR="00CC4127">
        <w:rPr>
          <w:rFonts w:ascii="Times New Roman" w:hAnsi="Times New Roman" w:cs="Times New Roman"/>
          <w:sz w:val="24"/>
          <w:szCs w:val="24"/>
        </w:rPr>
        <w:t>u</w:t>
      </w:r>
      <w:r w:rsidR="009E024C" w:rsidRPr="00241E61">
        <w:rPr>
          <w:rFonts w:ascii="Times New Roman" w:hAnsi="Times New Roman" w:cs="Times New Roman"/>
          <w:sz w:val="24"/>
          <w:szCs w:val="24"/>
        </w:rPr>
        <w:t xml:space="preserve"> od </w:t>
      </w:r>
      <w:r w:rsidR="001E4E3B">
        <w:rPr>
          <w:rFonts w:ascii="Times New Roman" w:hAnsi="Times New Roman" w:cs="Times New Roman"/>
          <w:sz w:val="24"/>
          <w:szCs w:val="24"/>
        </w:rPr>
        <w:t>179.651</w:t>
      </w:r>
      <w:r w:rsidR="009E024C">
        <w:rPr>
          <w:rFonts w:ascii="Times New Roman" w:hAnsi="Times New Roman" w:cs="Times New Roman"/>
          <w:sz w:val="24"/>
          <w:szCs w:val="24"/>
        </w:rPr>
        <w:t xml:space="preserve"> eur</w:t>
      </w:r>
      <w:r w:rsidR="002A236D">
        <w:rPr>
          <w:rFonts w:ascii="Times New Roman" w:hAnsi="Times New Roman" w:cs="Times New Roman"/>
          <w:sz w:val="24"/>
          <w:szCs w:val="24"/>
        </w:rPr>
        <w:t>o</w:t>
      </w:r>
      <w:r w:rsidR="00CC4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izvor financiranja 51000 – Programi unije – raspoloživ predujam na kojem se u planskom razdoblju 2026. – 202</w:t>
      </w:r>
      <w:r w:rsidR="001E4E3B">
        <w:rPr>
          <w:rFonts w:ascii="Times New Roman" w:hAnsi="Times New Roman" w:cs="Times New Roman"/>
          <w:sz w:val="24"/>
          <w:szCs w:val="24"/>
        </w:rPr>
        <w:t>8. godine planiraju sredstva za</w:t>
      </w:r>
      <w:r w:rsidR="00CC4127">
        <w:rPr>
          <w:rFonts w:ascii="Times New Roman" w:hAnsi="Times New Roman" w:cs="Times New Roman"/>
          <w:sz w:val="24"/>
          <w:szCs w:val="24"/>
        </w:rPr>
        <w:t xml:space="preserve"> projekt</w:t>
      </w:r>
      <w:r w:rsidR="00110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311">
        <w:rPr>
          <w:rFonts w:ascii="Times New Roman" w:hAnsi="Times New Roman" w:cs="Times New Roman"/>
          <w:sz w:val="24"/>
          <w:szCs w:val="24"/>
        </w:rPr>
        <w:t>EUN</w:t>
      </w:r>
      <w:r w:rsidR="001E4E3B">
        <w:rPr>
          <w:rFonts w:ascii="Times New Roman" w:hAnsi="Times New Roman" w:cs="Times New Roman"/>
          <w:sz w:val="24"/>
          <w:szCs w:val="24"/>
        </w:rPr>
        <w:t>etCCC</w:t>
      </w:r>
      <w:proofErr w:type="spellEnd"/>
      <w:r w:rsidR="001E4E3B">
        <w:rPr>
          <w:rFonts w:ascii="Times New Roman" w:hAnsi="Times New Roman" w:cs="Times New Roman"/>
          <w:sz w:val="24"/>
          <w:szCs w:val="24"/>
        </w:rPr>
        <w:t xml:space="preserve"> koji je t</w:t>
      </w:r>
      <w:r w:rsidR="00CA6C5A">
        <w:rPr>
          <w:rFonts w:ascii="Times New Roman" w:hAnsi="Times New Roman" w:cs="Times New Roman"/>
          <w:sz w:val="24"/>
          <w:szCs w:val="24"/>
        </w:rPr>
        <w:t>ije</w:t>
      </w:r>
      <w:r w:rsidR="001E4E3B">
        <w:rPr>
          <w:rFonts w:ascii="Times New Roman" w:hAnsi="Times New Roman" w:cs="Times New Roman"/>
          <w:sz w:val="24"/>
          <w:szCs w:val="24"/>
        </w:rPr>
        <w:t>kom 2025. godine bio planiran na</w:t>
      </w:r>
      <w:r w:rsidR="00337685">
        <w:rPr>
          <w:rFonts w:ascii="Times New Roman" w:hAnsi="Times New Roman" w:cs="Times New Roman"/>
          <w:sz w:val="24"/>
          <w:szCs w:val="24"/>
        </w:rPr>
        <w:t xml:space="preserve"> izvoru financiranja 52 Ostale pomoći</w:t>
      </w:r>
      <w:r w:rsidR="000F710D">
        <w:rPr>
          <w:rFonts w:ascii="Times New Roman" w:hAnsi="Times New Roman" w:cs="Times New Roman"/>
          <w:sz w:val="24"/>
          <w:szCs w:val="24"/>
        </w:rPr>
        <w:t>. U planskom razdoblju</w:t>
      </w:r>
      <w:r w:rsidR="00CC4127">
        <w:rPr>
          <w:rFonts w:ascii="Times New Roman" w:hAnsi="Times New Roman" w:cs="Times New Roman"/>
          <w:sz w:val="24"/>
          <w:szCs w:val="24"/>
        </w:rPr>
        <w:t xml:space="preserve"> 2026. – 2028. godine</w:t>
      </w:r>
      <w:r w:rsidR="000F710D">
        <w:rPr>
          <w:rFonts w:ascii="Times New Roman" w:hAnsi="Times New Roman" w:cs="Times New Roman"/>
          <w:sz w:val="24"/>
          <w:szCs w:val="24"/>
        </w:rPr>
        <w:t xml:space="preserve"> planom obuhvaćena sredstva ne uključuju izvor financiranja 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CE6">
        <w:rPr>
          <w:rFonts w:ascii="Times New Roman" w:hAnsi="Times New Roman" w:cs="Times New Roman"/>
          <w:sz w:val="24"/>
          <w:szCs w:val="24"/>
        </w:rPr>
        <w:t xml:space="preserve">te nema prijenosa </w:t>
      </w:r>
      <w:r w:rsidR="000F710D">
        <w:rPr>
          <w:rFonts w:ascii="Times New Roman" w:hAnsi="Times New Roman" w:cs="Times New Roman"/>
          <w:sz w:val="24"/>
          <w:szCs w:val="24"/>
        </w:rPr>
        <w:t xml:space="preserve">sredstava u 2027. i 2028. godinu. </w:t>
      </w:r>
    </w:p>
    <w:p w:rsidR="009E024C" w:rsidRPr="00241E61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ab/>
        <w:t>Od donacija (</w:t>
      </w:r>
      <w:r w:rsidR="00DC5F20">
        <w:rPr>
          <w:rFonts w:ascii="Times New Roman" w:hAnsi="Times New Roman" w:cs="Times New Roman"/>
          <w:sz w:val="24"/>
          <w:szCs w:val="24"/>
        </w:rPr>
        <w:t>izvor financiranja</w:t>
      </w:r>
      <w:r w:rsidRPr="00241E61">
        <w:rPr>
          <w:rFonts w:ascii="Times New Roman" w:hAnsi="Times New Roman" w:cs="Times New Roman"/>
          <w:sz w:val="24"/>
          <w:szCs w:val="24"/>
        </w:rPr>
        <w:t xml:space="preserve"> 61) </w:t>
      </w:r>
      <w:r>
        <w:rPr>
          <w:rFonts w:ascii="Times New Roman" w:hAnsi="Times New Roman" w:cs="Times New Roman"/>
          <w:sz w:val="24"/>
          <w:szCs w:val="24"/>
        </w:rPr>
        <w:t xml:space="preserve">planiran je </w:t>
      </w:r>
      <w:r w:rsidRPr="00241E61">
        <w:rPr>
          <w:rFonts w:ascii="Times New Roman" w:hAnsi="Times New Roman" w:cs="Times New Roman"/>
          <w:sz w:val="24"/>
          <w:szCs w:val="24"/>
        </w:rPr>
        <w:t>neutrošen</w:t>
      </w:r>
      <w:r>
        <w:rPr>
          <w:rFonts w:ascii="Times New Roman" w:hAnsi="Times New Roman" w:cs="Times New Roman"/>
          <w:sz w:val="24"/>
          <w:szCs w:val="24"/>
        </w:rPr>
        <w:t xml:space="preserve"> iznos od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303B8F">
        <w:rPr>
          <w:rFonts w:ascii="Times New Roman" w:hAnsi="Times New Roman" w:cs="Times New Roman"/>
          <w:sz w:val="24"/>
          <w:szCs w:val="24"/>
        </w:rPr>
        <w:t>397.703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koji se prenose u 202</w:t>
      </w:r>
      <w:r w:rsidR="00303B8F">
        <w:rPr>
          <w:rFonts w:ascii="Times New Roman" w:hAnsi="Times New Roman" w:cs="Times New Roman"/>
          <w:sz w:val="24"/>
          <w:szCs w:val="24"/>
        </w:rPr>
        <w:t>6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radi </w:t>
      </w:r>
      <w:r w:rsidRPr="0087076D">
        <w:rPr>
          <w:rFonts w:ascii="Times New Roman" w:hAnsi="Times New Roman" w:cs="Times New Roman"/>
          <w:color w:val="000000" w:themeColor="text1"/>
          <w:sz w:val="24"/>
          <w:szCs w:val="24"/>
        </w:rPr>
        <w:t>nerealiziranih isplata službenih putovanja, kotizacija i članarina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53196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te se očekuje da će se iz 202</w:t>
      </w:r>
      <w:r w:rsidR="00303B8F">
        <w:rPr>
          <w:rFonts w:ascii="Times New Roman" w:hAnsi="Times New Roman" w:cs="Times New Roman"/>
          <w:sz w:val="24"/>
          <w:szCs w:val="24"/>
        </w:rPr>
        <w:t>6</w:t>
      </w:r>
      <w:r w:rsidRPr="00241E61">
        <w:rPr>
          <w:rFonts w:ascii="Times New Roman" w:hAnsi="Times New Roman" w:cs="Times New Roman"/>
          <w:sz w:val="24"/>
          <w:szCs w:val="24"/>
        </w:rPr>
        <w:t>. godine u 202</w:t>
      </w:r>
      <w:r w:rsidR="00303B8F">
        <w:rPr>
          <w:rFonts w:ascii="Times New Roman" w:hAnsi="Times New Roman" w:cs="Times New Roman"/>
          <w:sz w:val="24"/>
          <w:szCs w:val="24"/>
        </w:rPr>
        <w:t>7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prenijeti iznos od </w:t>
      </w:r>
      <w:r w:rsidR="00303B8F">
        <w:rPr>
          <w:rFonts w:ascii="Times New Roman" w:hAnsi="Times New Roman" w:cs="Times New Roman"/>
          <w:sz w:val="24"/>
          <w:szCs w:val="24"/>
        </w:rPr>
        <w:t>132.190</w:t>
      </w:r>
      <w:r w:rsidR="00AC4339"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>eura, te iz 202</w:t>
      </w:r>
      <w:r w:rsidR="00303B8F">
        <w:rPr>
          <w:rFonts w:ascii="Times New Roman" w:hAnsi="Times New Roman" w:cs="Times New Roman"/>
          <w:sz w:val="24"/>
          <w:szCs w:val="24"/>
        </w:rPr>
        <w:t>7</w:t>
      </w:r>
      <w:r w:rsidRPr="00241E61">
        <w:rPr>
          <w:rFonts w:ascii="Times New Roman" w:hAnsi="Times New Roman" w:cs="Times New Roman"/>
          <w:sz w:val="24"/>
          <w:szCs w:val="24"/>
        </w:rPr>
        <w:t>. u 202</w:t>
      </w:r>
      <w:r w:rsidR="00303B8F">
        <w:rPr>
          <w:rFonts w:ascii="Times New Roman" w:hAnsi="Times New Roman" w:cs="Times New Roman"/>
          <w:sz w:val="24"/>
          <w:szCs w:val="24"/>
        </w:rPr>
        <w:t>8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godinu </w:t>
      </w:r>
      <w:r w:rsidR="00303B8F">
        <w:rPr>
          <w:rFonts w:ascii="Times New Roman" w:hAnsi="Times New Roman" w:cs="Times New Roman"/>
          <w:sz w:val="24"/>
          <w:szCs w:val="24"/>
        </w:rPr>
        <w:t>113.470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</w:t>
      </w:r>
      <w:r w:rsidR="00AC4339">
        <w:rPr>
          <w:rFonts w:ascii="Times New Roman" w:hAnsi="Times New Roman" w:cs="Times New Roman"/>
          <w:sz w:val="24"/>
          <w:szCs w:val="24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>. Na kraju 202</w:t>
      </w:r>
      <w:r w:rsidR="00303B8F">
        <w:rPr>
          <w:rFonts w:ascii="Times New Roman" w:hAnsi="Times New Roman" w:cs="Times New Roman"/>
          <w:sz w:val="24"/>
          <w:szCs w:val="24"/>
        </w:rPr>
        <w:t>8</w:t>
      </w:r>
      <w:r w:rsidRPr="00241E61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planirani iznos za </w:t>
      </w:r>
      <w:r w:rsidRPr="00241E61">
        <w:rPr>
          <w:rFonts w:ascii="Times New Roman" w:hAnsi="Times New Roman" w:cs="Times New Roman"/>
          <w:sz w:val="24"/>
          <w:szCs w:val="24"/>
        </w:rPr>
        <w:t>prijenos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303B8F">
        <w:rPr>
          <w:rFonts w:ascii="Times New Roman" w:hAnsi="Times New Roman" w:cs="Times New Roman"/>
          <w:sz w:val="24"/>
          <w:szCs w:val="24"/>
        </w:rPr>
        <w:t>97.520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</w:t>
      </w:r>
      <w:r w:rsidR="00C75C75">
        <w:rPr>
          <w:rFonts w:ascii="Times New Roman" w:hAnsi="Times New Roman" w:cs="Times New Roman"/>
          <w:sz w:val="24"/>
          <w:szCs w:val="24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>.</w:t>
      </w:r>
    </w:p>
    <w:p w:rsidR="009E024C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Kod prihoda</w:t>
      </w:r>
      <w:r w:rsidRPr="00241E61">
        <w:rPr>
          <w:rFonts w:ascii="Times New Roman" w:hAnsi="Times New Roman" w:cs="Times New Roman"/>
          <w:sz w:val="24"/>
          <w:szCs w:val="24"/>
        </w:rPr>
        <w:t xml:space="preserve"> od nefinancijske imovine (</w:t>
      </w:r>
      <w:r w:rsidR="00DC5F20">
        <w:rPr>
          <w:rFonts w:ascii="Times New Roman" w:hAnsi="Times New Roman" w:cs="Times New Roman"/>
          <w:sz w:val="24"/>
          <w:szCs w:val="24"/>
        </w:rPr>
        <w:t>izvor financiranja</w:t>
      </w:r>
      <w:r w:rsidRPr="00241E61">
        <w:rPr>
          <w:rFonts w:ascii="Times New Roman" w:hAnsi="Times New Roman" w:cs="Times New Roman"/>
          <w:sz w:val="24"/>
          <w:szCs w:val="24"/>
        </w:rPr>
        <w:t xml:space="preserve"> 71) </w:t>
      </w:r>
      <w:r>
        <w:rPr>
          <w:rFonts w:ascii="Times New Roman" w:hAnsi="Times New Roman" w:cs="Times New Roman"/>
          <w:sz w:val="24"/>
          <w:szCs w:val="24"/>
        </w:rPr>
        <w:t xml:space="preserve">planiran je </w:t>
      </w:r>
      <w:r w:rsidRPr="00241E61">
        <w:rPr>
          <w:rFonts w:ascii="Times New Roman" w:hAnsi="Times New Roman" w:cs="Times New Roman"/>
          <w:sz w:val="24"/>
          <w:szCs w:val="24"/>
        </w:rPr>
        <w:t xml:space="preserve">prijenos u iznosu od </w:t>
      </w:r>
      <w:r w:rsidR="00C50F81">
        <w:rPr>
          <w:rFonts w:ascii="Times New Roman" w:hAnsi="Times New Roman" w:cs="Times New Roman"/>
          <w:sz w:val="24"/>
          <w:szCs w:val="24"/>
        </w:rPr>
        <w:t>16.133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kroz sve planske godine. Radi se o prihodu od prodaje stanova koji ćemo utrošiti u dugotrajnu imovinu tijekom narednog razdoblja.</w:t>
      </w:r>
    </w:p>
    <w:p w:rsidR="00C50F81" w:rsidRDefault="00C50F81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D4D" w:rsidRDefault="00A16D4D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D4D" w:rsidRPr="00241E61" w:rsidRDefault="00A16D4D" w:rsidP="000C5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24C" w:rsidRPr="00241E61" w:rsidRDefault="009E024C" w:rsidP="000C5CC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1F2">
        <w:rPr>
          <w:rFonts w:ascii="Times New Roman" w:hAnsi="Times New Roman" w:cs="Times New Roman"/>
          <w:b/>
          <w:sz w:val="24"/>
          <w:szCs w:val="24"/>
        </w:rPr>
        <w:t>PRIKAZ STANJA UKUPNIH I DOSPJELIH OBVEZA</w:t>
      </w:r>
    </w:p>
    <w:p w:rsidR="009E024C" w:rsidRDefault="009E024C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lastRenderedPageBreak/>
        <w:t>Navodimo prikaz stanja ukupnih i dospjelih obveza K</w:t>
      </w:r>
      <w:r w:rsidR="00FD42DA">
        <w:rPr>
          <w:rFonts w:ascii="Times New Roman" w:hAnsi="Times New Roman" w:cs="Times New Roman"/>
          <w:sz w:val="24"/>
          <w:szCs w:val="24"/>
        </w:rPr>
        <w:t xml:space="preserve">liničkog bolničkog centra Sestre milosrdnice </w:t>
      </w:r>
      <w:r w:rsidRPr="00241E61">
        <w:rPr>
          <w:rFonts w:ascii="Times New Roman" w:hAnsi="Times New Roman" w:cs="Times New Roman"/>
          <w:sz w:val="24"/>
          <w:szCs w:val="24"/>
        </w:rPr>
        <w:t xml:space="preserve">na dan 31. prosinca </w:t>
      </w:r>
      <w:r w:rsidR="009C298A">
        <w:rPr>
          <w:rFonts w:ascii="Times New Roman" w:hAnsi="Times New Roman" w:cs="Times New Roman"/>
          <w:sz w:val="24"/>
          <w:szCs w:val="24"/>
        </w:rPr>
        <w:t>202</w:t>
      </w:r>
      <w:r w:rsidR="008D3D2B">
        <w:rPr>
          <w:rFonts w:ascii="Times New Roman" w:hAnsi="Times New Roman" w:cs="Times New Roman"/>
          <w:sz w:val="24"/>
          <w:szCs w:val="24"/>
        </w:rPr>
        <w:t>4</w:t>
      </w:r>
      <w:r w:rsidRPr="00241E61">
        <w:rPr>
          <w:rFonts w:ascii="Times New Roman" w:hAnsi="Times New Roman" w:cs="Times New Roman"/>
          <w:sz w:val="24"/>
          <w:szCs w:val="24"/>
        </w:rPr>
        <w:t>. godine i na dan 30. lipnja 202</w:t>
      </w:r>
      <w:r w:rsidR="008D3D2B">
        <w:rPr>
          <w:rFonts w:ascii="Times New Roman" w:hAnsi="Times New Roman" w:cs="Times New Roman"/>
          <w:sz w:val="24"/>
          <w:szCs w:val="24"/>
        </w:rPr>
        <w:t>5</w:t>
      </w:r>
      <w:r w:rsidRPr="00241E61">
        <w:rPr>
          <w:rFonts w:ascii="Times New Roman" w:hAnsi="Times New Roman" w:cs="Times New Roman"/>
          <w:sz w:val="24"/>
          <w:szCs w:val="24"/>
        </w:rPr>
        <w:t>. godine:</w:t>
      </w:r>
    </w:p>
    <w:p w:rsidR="00A6698B" w:rsidRPr="00241E61" w:rsidRDefault="00A6698B" w:rsidP="000C5C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E024C" w:rsidRPr="00241E61" w:rsidTr="000D080E">
        <w:tc>
          <w:tcPr>
            <w:tcW w:w="1838" w:type="dxa"/>
          </w:tcPr>
          <w:p w:rsidR="009E024C" w:rsidRPr="00241E61" w:rsidRDefault="009E024C" w:rsidP="000C5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E024C" w:rsidRPr="00241E61" w:rsidRDefault="009E024C" w:rsidP="00FC74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Stanje</w:t>
            </w:r>
            <w:r w:rsidR="00A70B5B" w:rsidRPr="000E3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obveza na dan 31.12.202</w:t>
            </w:r>
            <w:r w:rsidR="00FC74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0E3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FC74CB" w:rsidRDefault="009E024C" w:rsidP="00FC74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obveza na dan </w:t>
            </w:r>
          </w:p>
          <w:p w:rsidR="009E024C" w:rsidRPr="00241E61" w:rsidRDefault="009E024C" w:rsidP="00FC74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1F2">
              <w:rPr>
                <w:rFonts w:ascii="Times New Roman" w:hAnsi="Times New Roman" w:cs="Times New Roman"/>
                <w:b/>
                <w:sz w:val="24"/>
                <w:szCs w:val="24"/>
              </w:rPr>
              <w:t>30.06.202</w:t>
            </w:r>
            <w:r w:rsidR="00FC74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61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E024C" w:rsidRPr="00241E61" w:rsidTr="000D080E">
        <w:tc>
          <w:tcPr>
            <w:tcW w:w="1838" w:type="dxa"/>
          </w:tcPr>
          <w:p w:rsidR="009E024C" w:rsidRPr="00241E61" w:rsidRDefault="009E024C" w:rsidP="000C5CC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61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E024C" w:rsidRPr="00241E61" w:rsidRDefault="00DD4826" w:rsidP="000C5CC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164.513.603</w:t>
            </w:r>
          </w:p>
        </w:tc>
        <w:tc>
          <w:tcPr>
            <w:tcW w:w="3680" w:type="dxa"/>
          </w:tcPr>
          <w:p w:rsidR="009E024C" w:rsidRPr="00241E61" w:rsidRDefault="00DD4826" w:rsidP="008D77E9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7E9">
              <w:rPr>
                <w:rFonts w:ascii="Times New Roman" w:hAnsi="Times New Roman" w:cs="Times New Roman"/>
                <w:sz w:val="24"/>
                <w:szCs w:val="24"/>
              </w:rPr>
              <w:t>85.006.005</w:t>
            </w:r>
          </w:p>
        </w:tc>
      </w:tr>
      <w:tr w:rsidR="009E024C" w:rsidRPr="00241E61" w:rsidTr="000D080E">
        <w:tc>
          <w:tcPr>
            <w:tcW w:w="1838" w:type="dxa"/>
          </w:tcPr>
          <w:p w:rsidR="009E024C" w:rsidRPr="00241E61" w:rsidRDefault="009E024C" w:rsidP="000C5CC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61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E024C" w:rsidRPr="00241E61" w:rsidRDefault="008D1E70" w:rsidP="000C5CC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59.208.595</w:t>
            </w:r>
          </w:p>
        </w:tc>
        <w:tc>
          <w:tcPr>
            <w:tcW w:w="3680" w:type="dxa"/>
          </w:tcPr>
          <w:p w:rsidR="009E024C" w:rsidRPr="00241E61" w:rsidRDefault="00DD4826" w:rsidP="008D1E7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="008D1E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1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E70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</w:tbl>
    <w:p w:rsidR="009E024C" w:rsidRPr="00241E61" w:rsidRDefault="009E024C" w:rsidP="000C5C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E024C" w:rsidRPr="00241E61" w:rsidRDefault="009E024C" w:rsidP="000C5CC1">
      <w:pPr>
        <w:pStyle w:val="Zaglavlje"/>
        <w:tabs>
          <w:tab w:val="clear" w:pos="4536"/>
          <w:tab w:val="clear" w:pos="9072"/>
        </w:tabs>
        <w:spacing w:after="120"/>
      </w:pPr>
      <w:r w:rsidRPr="00241E61">
        <w:tab/>
        <w:t>Na dan 31. prosinca 202</w:t>
      </w:r>
      <w:r w:rsidR="00DD4826">
        <w:t>4</w:t>
      </w:r>
      <w:r w:rsidRPr="00241E61">
        <w:t>. godine sveukupne obveze K</w:t>
      </w:r>
      <w:r w:rsidR="00326096">
        <w:t>liničkog bolničkog centra</w:t>
      </w:r>
      <w:r w:rsidRPr="00241E61">
        <w:t xml:space="preserve"> iznosile su </w:t>
      </w:r>
      <w:r w:rsidR="00DD4826">
        <w:t>164.513.603</w:t>
      </w:r>
      <w:r w:rsidR="002B3ADA">
        <w:t xml:space="preserve"> eur</w:t>
      </w:r>
      <w:r w:rsidR="00DD4826">
        <w:t>a</w:t>
      </w:r>
      <w:r w:rsidRPr="00241E61">
        <w:rPr>
          <w:b/>
        </w:rPr>
        <w:t>.</w:t>
      </w:r>
      <w:r w:rsidRPr="00241E61">
        <w:tab/>
        <w:t xml:space="preserve"> </w:t>
      </w:r>
    </w:p>
    <w:p w:rsidR="009E024C" w:rsidRPr="00241E61" w:rsidRDefault="009E024C" w:rsidP="000C5CC1">
      <w:pPr>
        <w:pStyle w:val="Zaglavlje"/>
        <w:tabs>
          <w:tab w:val="clear" w:pos="4536"/>
          <w:tab w:val="clear" w:pos="9072"/>
        </w:tabs>
        <w:spacing w:after="120"/>
      </w:pPr>
      <w:r w:rsidRPr="00241E61">
        <w:tab/>
        <w:t>Ukoliko se od navedenih obveza odbiju obveze koje se odnose na isplatu plaće zaposlenicima za mjesec prosinac 202</w:t>
      </w:r>
      <w:r w:rsidR="00F768EF">
        <w:t>4</w:t>
      </w:r>
      <w:r w:rsidRPr="00241E61">
        <w:t>. godine, ostale nespomenute obveze i obveze prema H</w:t>
      </w:r>
      <w:r w:rsidR="00EE6CE6">
        <w:t>rvatskom zavodu za zdravstveno osiguranje</w:t>
      </w:r>
      <w:r w:rsidRPr="00241E61">
        <w:t xml:space="preserve"> za manje izvršen rad, stvarne obveze Bolnice prema dobavljačima na spomenuti dan iznosile su </w:t>
      </w:r>
      <w:r w:rsidR="00DD4826">
        <w:t>74.238.467</w:t>
      </w:r>
      <w:r w:rsidR="002B3ADA">
        <w:t xml:space="preserve"> eur</w:t>
      </w:r>
      <w:r w:rsidR="00EE6CE6">
        <w:t>a</w:t>
      </w:r>
      <w:r w:rsidRPr="00241E61">
        <w:t>.</w:t>
      </w:r>
    </w:p>
    <w:p w:rsidR="009E024C" w:rsidRPr="00480102" w:rsidRDefault="009E024C" w:rsidP="000C5CC1">
      <w:pPr>
        <w:pStyle w:val="Zaglavlje"/>
        <w:tabs>
          <w:tab w:val="clear" w:pos="4536"/>
          <w:tab w:val="clear" w:pos="9072"/>
        </w:tabs>
        <w:spacing w:after="120"/>
      </w:pPr>
      <w:r w:rsidRPr="00241E61">
        <w:tab/>
        <w:t xml:space="preserve">Na ukupno dospjele obveze odnosi se iznos </w:t>
      </w:r>
      <w:r w:rsidRPr="00480102">
        <w:t xml:space="preserve">od </w:t>
      </w:r>
      <w:r w:rsidR="00DD4826" w:rsidRPr="00480102">
        <w:t>66.216.577</w:t>
      </w:r>
      <w:r w:rsidR="002805C5" w:rsidRPr="00480102">
        <w:t xml:space="preserve"> eur</w:t>
      </w:r>
      <w:r w:rsidR="00DD4826" w:rsidRPr="00480102">
        <w:t>a</w:t>
      </w:r>
      <w:r w:rsidRPr="00480102">
        <w:t xml:space="preserve"> ili </w:t>
      </w:r>
      <w:r w:rsidR="00DD4826" w:rsidRPr="00480102">
        <w:t>40,25</w:t>
      </w:r>
      <w:r w:rsidR="00491B23" w:rsidRPr="00480102">
        <w:t xml:space="preserve"> </w:t>
      </w:r>
      <w:r w:rsidRPr="00480102">
        <w:t>% ukupnih obveza.</w:t>
      </w:r>
    </w:p>
    <w:p w:rsidR="009E024C" w:rsidRPr="00480102" w:rsidRDefault="009E024C" w:rsidP="000C5CC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1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0102">
        <w:rPr>
          <w:rFonts w:ascii="Times New Roman" w:hAnsi="Times New Roman" w:cs="Times New Roman"/>
          <w:bCs/>
          <w:sz w:val="24"/>
          <w:szCs w:val="24"/>
        </w:rPr>
        <w:t xml:space="preserve">Dospjele obveze preko 90 dana iznose </w:t>
      </w:r>
      <w:r w:rsidR="00DD4826" w:rsidRPr="00480102">
        <w:rPr>
          <w:rFonts w:ascii="Times New Roman" w:hAnsi="Times New Roman" w:cs="Times New Roman"/>
          <w:bCs/>
          <w:sz w:val="24"/>
          <w:szCs w:val="24"/>
        </w:rPr>
        <w:t>15.371.604 eura</w:t>
      </w:r>
      <w:r w:rsidRPr="00480102">
        <w:rPr>
          <w:rFonts w:ascii="Times New Roman" w:hAnsi="Times New Roman" w:cs="Times New Roman"/>
          <w:bCs/>
          <w:sz w:val="24"/>
          <w:szCs w:val="24"/>
        </w:rPr>
        <w:t xml:space="preserve"> što čini </w:t>
      </w:r>
      <w:r w:rsidR="000016C6" w:rsidRPr="00480102">
        <w:rPr>
          <w:rFonts w:ascii="Times New Roman" w:hAnsi="Times New Roman" w:cs="Times New Roman"/>
          <w:bCs/>
          <w:sz w:val="24"/>
          <w:szCs w:val="24"/>
        </w:rPr>
        <w:t>23,21</w:t>
      </w:r>
      <w:r w:rsidRPr="00480102">
        <w:rPr>
          <w:rFonts w:ascii="Times New Roman" w:hAnsi="Times New Roman" w:cs="Times New Roman"/>
          <w:bCs/>
          <w:sz w:val="24"/>
          <w:szCs w:val="24"/>
        </w:rPr>
        <w:t xml:space="preserve"> % ukupno dospjelih obveza prema dobavljačima.</w:t>
      </w:r>
    </w:p>
    <w:p w:rsidR="006E7BEA" w:rsidRPr="00480102" w:rsidRDefault="006E7BEA" w:rsidP="000C5CC1">
      <w:pPr>
        <w:pStyle w:val="Zaglavlje"/>
        <w:tabs>
          <w:tab w:val="clear" w:pos="4536"/>
          <w:tab w:val="clear" w:pos="9072"/>
        </w:tabs>
        <w:spacing w:after="120"/>
        <w:ind w:firstLine="708"/>
      </w:pPr>
      <w:r w:rsidRPr="00480102">
        <w:t>Na dan 30. lipnja 202</w:t>
      </w:r>
      <w:r w:rsidR="000016C6" w:rsidRPr="00480102">
        <w:t>5</w:t>
      </w:r>
      <w:r w:rsidRPr="00480102">
        <w:t xml:space="preserve">. godine sveukupne obveze Kliničkog bolničkog centra  iznosile su </w:t>
      </w:r>
      <w:r w:rsidR="000016C6" w:rsidRPr="00480102">
        <w:t>185.006.005</w:t>
      </w:r>
      <w:r w:rsidRPr="00480102">
        <w:t xml:space="preserve"> eura.</w:t>
      </w:r>
    </w:p>
    <w:p w:rsidR="006E7BEA" w:rsidRPr="00480102" w:rsidRDefault="006E7BEA" w:rsidP="000C5CC1">
      <w:pPr>
        <w:pStyle w:val="Zaglavlje"/>
        <w:tabs>
          <w:tab w:val="clear" w:pos="4536"/>
          <w:tab w:val="clear" w:pos="9072"/>
        </w:tabs>
        <w:spacing w:after="120"/>
        <w:ind w:firstLine="708"/>
        <w:rPr>
          <w:b/>
        </w:rPr>
      </w:pPr>
      <w:r w:rsidRPr="00480102">
        <w:t>Ukoliko se od navedenih obveza odbiju obveze koje se odnose na isplatu plaće zaposlenicima za mjesec lipanj 202</w:t>
      </w:r>
      <w:r w:rsidR="00F768EF" w:rsidRPr="00480102">
        <w:t>5</w:t>
      </w:r>
      <w:r w:rsidRPr="00480102">
        <w:t>. godine, ostale nespomenute obveze i obveze prema H</w:t>
      </w:r>
      <w:r w:rsidR="00F768EF" w:rsidRPr="00480102">
        <w:t>rvatskom zavodu za zdravstveno osiguranje za</w:t>
      </w:r>
      <w:r w:rsidRPr="00480102">
        <w:t xml:space="preserve"> manje izvršen rad, stvarne obveze Bolnice prema dobavljačima na spomenuti dan iznosile su </w:t>
      </w:r>
      <w:r w:rsidR="000016C6" w:rsidRPr="00480102">
        <w:t>92.665.422</w:t>
      </w:r>
      <w:r w:rsidRPr="00480102">
        <w:t xml:space="preserve"> eura.</w:t>
      </w:r>
    </w:p>
    <w:p w:rsidR="006E7BEA" w:rsidRPr="00480102" w:rsidRDefault="006E7BEA" w:rsidP="000C5CC1">
      <w:pPr>
        <w:pStyle w:val="Zaglavlje"/>
        <w:tabs>
          <w:tab w:val="clear" w:pos="4536"/>
          <w:tab w:val="clear" w:pos="9072"/>
        </w:tabs>
        <w:spacing w:after="120"/>
      </w:pPr>
      <w:r w:rsidRPr="00480102">
        <w:tab/>
        <w:t xml:space="preserve">Na ukupno dospjele obveze odnosi se iznos od </w:t>
      </w:r>
      <w:r w:rsidR="000016C6" w:rsidRPr="00480102">
        <w:t>63.625.203</w:t>
      </w:r>
      <w:r w:rsidRPr="00480102">
        <w:t xml:space="preserve"> eura</w:t>
      </w:r>
      <w:r w:rsidR="000016C6" w:rsidRPr="00480102">
        <w:t xml:space="preserve"> ili 34,39</w:t>
      </w:r>
      <w:r w:rsidRPr="00480102">
        <w:t xml:space="preserve"> % ukupnih obveza.</w:t>
      </w:r>
    </w:p>
    <w:p w:rsidR="007E228C" w:rsidRDefault="006E7BEA" w:rsidP="000C5CC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1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0102">
        <w:rPr>
          <w:rFonts w:ascii="Times New Roman" w:hAnsi="Times New Roman" w:cs="Times New Roman"/>
          <w:bCs/>
          <w:sz w:val="24"/>
          <w:szCs w:val="24"/>
        </w:rPr>
        <w:t xml:space="preserve">Dospjele obveze preko 90 dana iznose </w:t>
      </w:r>
      <w:r w:rsidR="000016C6" w:rsidRPr="00480102">
        <w:rPr>
          <w:rFonts w:ascii="Times New Roman" w:hAnsi="Times New Roman" w:cs="Times New Roman"/>
          <w:bCs/>
          <w:sz w:val="24"/>
          <w:szCs w:val="24"/>
        </w:rPr>
        <w:t>23.068.297</w:t>
      </w:r>
      <w:r w:rsidRPr="00480102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0016C6" w:rsidRPr="00480102">
        <w:rPr>
          <w:rFonts w:ascii="Times New Roman" w:hAnsi="Times New Roman" w:cs="Times New Roman"/>
          <w:bCs/>
          <w:sz w:val="24"/>
          <w:szCs w:val="24"/>
        </w:rPr>
        <w:t xml:space="preserve"> što</w:t>
      </w:r>
      <w:r w:rsidR="000016C6">
        <w:rPr>
          <w:rFonts w:ascii="Times New Roman" w:hAnsi="Times New Roman" w:cs="Times New Roman"/>
          <w:bCs/>
          <w:sz w:val="24"/>
          <w:szCs w:val="24"/>
        </w:rPr>
        <w:t xml:space="preserve"> čini 36,26 </w:t>
      </w:r>
      <w:r w:rsidRPr="00A17C7C">
        <w:rPr>
          <w:rFonts w:ascii="Times New Roman" w:hAnsi="Times New Roman" w:cs="Times New Roman"/>
          <w:bCs/>
          <w:sz w:val="24"/>
          <w:szCs w:val="24"/>
        </w:rPr>
        <w:t>% ukupno dospjelih obveza prema dobavljačima.</w:t>
      </w:r>
    </w:p>
    <w:p w:rsidR="007E228C" w:rsidRDefault="007E228C" w:rsidP="007E228C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520E8F">
        <w:rPr>
          <w:rFonts w:ascii="Times New Roman" w:hAnsi="Times New Roman" w:cs="Times New Roman"/>
          <w:bCs/>
          <w:sz w:val="24"/>
          <w:szCs w:val="24"/>
        </w:rPr>
        <w:t>De</w:t>
      </w:r>
      <w:r w:rsidR="00326096">
        <w:rPr>
          <w:rFonts w:ascii="Times New Roman" w:hAnsi="Times New Roman" w:cs="Times New Roman"/>
          <w:bCs/>
          <w:sz w:val="24"/>
          <w:szCs w:val="24"/>
        </w:rPr>
        <w:t>taljniji prikaz stanja obveza Kliničkog bolničkog centra</w:t>
      </w:r>
      <w:r w:rsidRPr="00520E8F">
        <w:rPr>
          <w:rFonts w:ascii="Times New Roman" w:hAnsi="Times New Roman" w:cs="Times New Roman"/>
          <w:bCs/>
          <w:sz w:val="24"/>
          <w:szCs w:val="24"/>
        </w:rPr>
        <w:t xml:space="preserve"> Sestre milosrdnice prikazan je u tablici Stanje obveza državnih ustanova u zdravstvu.</w:t>
      </w:r>
    </w:p>
    <w:p w:rsidR="007E228C" w:rsidRPr="00241E61" w:rsidRDefault="007E228C" w:rsidP="000C5CC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547F" w:rsidRDefault="009E024C" w:rsidP="000C5CC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E547F" w:rsidRDefault="00BE547F" w:rsidP="000C5CC1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E024C" w:rsidRPr="00350D58" w:rsidRDefault="009E024C" w:rsidP="00A75F6F">
      <w:pPr>
        <w:rPr>
          <w:rFonts w:ascii="Times New Roman" w:hAnsi="Times New Roman" w:cs="Times New Roman"/>
          <w:bCs/>
          <w:sz w:val="28"/>
          <w:szCs w:val="28"/>
        </w:rPr>
      </w:pPr>
      <w:r w:rsidRPr="00350D5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OBRAZLOŽENJE POSEBNOG DIJELA FINANCIJSKOG PLANA</w:t>
      </w:r>
    </w:p>
    <w:p w:rsidR="009E024C" w:rsidRPr="009E557C" w:rsidRDefault="009E024C" w:rsidP="009E557C">
      <w:p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55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Planirana i izvršena financijska sredstva na razini Ustanove</w:t>
      </w:r>
    </w:p>
    <w:p w:rsidR="009E024C" w:rsidRPr="009E024C" w:rsidRDefault="009E024C" w:rsidP="009E024C">
      <w:pPr>
        <w:spacing w:after="0" w:line="240" w:lineRule="auto"/>
        <w:ind w:left="709" w:right="37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418"/>
        <w:gridCol w:w="1417"/>
        <w:gridCol w:w="1418"/>
        <w:gridCol w:w="958"/>
      </w:tblGrid>
      <w:tr w:rsidR="009E024C" w:rsidRPr="00C8117B" w:rsidTr="000A09B8">
        <w:trPr>
          <w:trHeight w:val="713"/>
        </w:trPr>
        <w:tc>
          <w:tcPr>
            <w:tcW w:w="851" w:type="dxa"/>
            <w:shd w:val="clear" w:color="auto" w:fill="auto"/>
          </w:tcPr>
          <w:p w:rsidR="009E024C" w:rsidRPr="009E024C" w:rsidRDefault="009E024C" w:rsidP="009E024C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024C" w:rsidRPr="00C8117B" w:rsidRDefault="00A70B5B" w:rsidP="0022588C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Izvršenje 202</w:t>
            </w:r>
            <w:r w:rsidR="0022588C" w:rsidRPr="00C8117B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E024C" w:rsidRPr="00C8117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E024C" w:rsidRPr="00C8117B" w:rsidRDefault="009E024C" w:rsidP="009E024C">
            <w:pPr>
              <w:spacing w:before="120"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22588C" w:rsidRPr="00C8117B">
              <w:rPr>
                <w:rFonts w:ascii="Times New Roman" w:eastAsia="Times New Roman" w:hAnsi="Times New Roman" w:cs="Times New Roman"/>
                <w:lang w:eastAsia="hr-HR"/>
              </w:rPr>
              <w:t>ebalans  Plana 2025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E024C" w:rsidRPr="00C8117B" w:rsidRDefault="009E024C" w:rsidP="002258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Plan 202</w:t>
            </w:r>
            <w:r w:rsidR="0022588C" w:rsidRPr="00C8117B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E024C" w:rsidRPr="00C8117B" w:rsidRDefault="009E024C" w:rsidP="0022588C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Plan 202</w:t>
            </w:r>
            <w:r w:rsidR="0022588C" w:rsidRPr="00C8117B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E024C" w:rsidRPr="00C8117B" w:rsidRDefault="009E024C" w:rsidP="0022588C">
            <w:pPr>
              <w:tabs>
                <w:tab w:val="left" w:pos="1160"/>
              </w:tabs>
              <w:spacing w:before="120"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Plan 202</w:t>
            </w:r>
            <w:r w:rsidR="0022588C" w:rsidRPr="00C8117B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958" w:type="dxa"/>
            <w:shd w:val="clear" w:color="auto" w:fill="auto"/>
          </w:tcPr>
          <w:p w:rsidR="009E024C" w:rsidRPr="00C8117B" w:rsidRDefault="009E024C" w:rsidP="002258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Indeks 2</w:t>
            </w:r>
            <w:r w:rsidR="0022588C" w:rsidRPr="00C8117B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/2</w:t>
            </w:r>
            <w:r w:rsidR="0022588C" w:rsidRPr="00C8117B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450E80" w:rsidRPr="00C8117B" w:rsidTr="00450E80">
        <w:tc>
          <w:tcPr>
            <w:tcW w:w="851" w:type="dxa"/>
            <w:shd w:val="clear" w:color="auto" w:fill="auto"/>
          </w:tcPr>
          <w:p w:rsidR="00450E80" w:rsidRPr="00C8117B" w:rsidRDefault="00450E80" w:rsidP="00450E80">
            <w:pPr>
              <w:tabs>
                <w:tab w:val="left" w:pos="670"/>
              </w:tabs>
              <w:spacing w:before="120" w:after="0" w:line="240" w:lineRule="auto"/>
              <w:ind w:right="7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26395</w:t>
            </w:r>
          </w:p>
        </w:tc>
        <w:tc>
          <w:tcPr>
            <w:tcW w:w="1701" w:type="dxa"/>
            <w:shd w:val="clear" w:color="auto" w:fill="auto"/>
          </w:tcPr>
          <w:p w:rsidR="00450E80" w:rsidRPr="00C8117B" w:rsidRDefault="0022588C" w:rsidP="00A215D4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325.760.329,80</w:t>
            </w:r>
          </w:p>
        </w:tc>
        <w:tc>
          <w:tcPr>
            <w:tcW w:w="1417" w:type="dxa"/>
            <w:shd w:val="clear" w:color="auto" w:fill="auto"/>
          </w:tcPr>
          <w:p w:rsidR="00450E80" w:rsidRPr="00C8117B" w:rsidRDefault="00AA4028" w:rsidP="00A215D4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337.453.607</w:t>
            </w:r>
          </w:p>
        </w:tc>
        <w:tc>
          <w:tcPr>
            <w:tcW w:w="1418" w:type="dxa"/>
            <w:shd w:val="clear" w:color="auto" w:fill="auto"/>
          </w:tcPr>
          <w:p w:rsidR="00450E80" w:rsidRPr="00C8117B" w:rsidRDefault="00337685" w:rsidP="00A215D4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391.583.447</w:t>
            </w:r>
          </w:p>
        </w:tc>
        <w:tc>
          <w:tcPr>
            <w:tcW w:w="1417" w:type="dxa"/>
            <w:shd w:val="clear" w:color="auto" w:fill="auto"/>
          </w:tcPr>
          <w:p w:rsidR="00450E80" w:rsidRPr="00C8117B" w:rsidRDefault="008959A0" w:rsidP="006E695C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347.566.425</w:t>
            </w:r>
          </w:p>
        </w:tc>
        <w:tc>
          <w:tcPr>
            <w:tcW w:w="1418" w:type="dxa"/>
            <w:shd w:val="clear" w:color="auto" w:fill="auto"/>
          </w:tcPr>
          <w:p w:rsidR="00450E80" w:rsidRPr="00C8117B" w:rsidRDefault="008959A0" w:rsidP="00A215D4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368.371.675</w:t>
            </w:r>
          </w:p>
        </w:tc>
        <w:tc>
          <w:tcPr>
            <w:tcW w:w="958" w:type="dxa"/>
            <w:shd w:val="clear" w:color="auto" w:fill="auto"/>
          </w:tcPr>
          <w:p w:rsidR="00450E80" w:rsidRPr="00C8117B" w:rsidRDefault="00337685" w:rsidP="00337685">
            <w:pPr>
              <w:tabs>
                <w:tab w:val="left" w:pos="670"/>
              </w:tabs>
              <w:spacing w:before="120" w:after="0" w:line="240" w:lineRule="auto"/>
              <w:ind w:right="7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116</w:t>
            </w:r>
            <w:r w:rsidR="00B856C3" w:rsidRPr="00C8117B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B856C3" w:rsidRPr="00C8117B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</w:tbl>
    <w:p w:rsidR="009E024C" w:rsidRPr="00C8117B" w:rsidRDefault="009E024C" w:rsidP="009E024C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9E024C" w:rsidRPr="00C8117B" w:rsidRDefault="009E024C" w:rsidP="00350D58">
      <w:pPr>
        <w:spacing w:after="120" w:line="240" w:lineRule="auto"/>
        <w:ind w:right="65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8117B">
        <w:rPr>
          <w:rFonts w:ascii="Times New Roman" w:eastAsia="Times New Roman" w:hAnsi="Times New Roman" w:cs="Times New Roman"/>
          <w:b/>
          <w:lang w:eastAsia="hr-HR"/>
        </w:rPr>
        <w:t>3602 INVESTICIJE U ZDRAVSTVENU INFRASTRUKTURU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418"/>
        <w:gridCol w:w="1417"/>
        <w:gridCol w:w="1418"/>
        <w:gridCol w:w="958"/>
      </w:tblGrid>
      <w:tr w:rsidR="0022588C" w:rsidRPr="00C8117B" w:rsidTr="0022588C">
        <w:trPr>
          <w:trHeight w:val="625"/>
        </w:trPr>
        <w:tc>
          <w:tcPr>
            <w:tcW w:w="851" w:type="dxa"/>
            <w:shd w:val="clear" w:color="auto" w:fill="auto"/>
          </w:tcPr>
          <w:p w:rsidR="0022588C" w:rsidRPr="00C8117B" w:rsidRDefault="0022588C" w:rsidP="0022588C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:rsidR="0022588C" w:rsidRPr="00C8117B" w:rsidRDefault="0022588C" w:rsidP="0022588C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417" w:type="dxa"/>
            <w:shd w:val="clear" w:color="auto" w:fill="auto"/>
          </w:tcPr>
          <w:p w:rsidR="0022588C" w:rsidRPr="00C8117B" w:rsidRDefault="0022588C" w:rsidP="0022588C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418" w:type="dxa"/>
            <w:shd w:val="clear" w:color="auto" w:fill="auto"/>
          </w:tcPr>
          <w:p w:rsidR="0022588C" w:rsidRPr="00C8117B" w:rsidRDefault="0022588C" w:rsidP="0022588C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417" w:type="dxa"/>
            <w:shd w:val="clear" w:color="auto" w:fill="auto"/>
          </w:tcPr>
          <w:p w:rsidR="0022588C" w:rsidRPr="00C8117B" w:rsidRDefault="0022588C" w:rsidP="0022588C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418" w:type="dxa"/>
            <w:shd w:val="clear" w:color="auto" w:fill="auto"/>
          </w:tcPr>
          <w:p w:rsidR="0022588C" w:rsidRPr="00C8117B" w:rsidRDefault="0022588C" w:rsidP="0022588C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958" w:type="dxa"/>
            <w:shd w:val="clear" w:color="auto" w:fill="auto"/>
          </w:tcPr>
          <w:p w:rsidR="0022588C" w:rsidRPr="00C8117B" w:rsidRDefault="0022588C" w:rsidP="0022588C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Indeks 26/25</w:t>
            </w:r>
          </w:p>
        </w:tc>
      </w:tr>
      <w:tr w:rsidR="00350D58" w:rsidRPr="00207E3F" w:rsidTr="0022588C">
        <w:trPr>
          <w:trHeight w:val="438"/>
        </w:trPr>
        <w:tc>
          <w:tcPr>
            <w:tcW w:w="851" w:type="dxa"/>
            <w:shd w:val="clear" w:color="auto" w:fill="auto"/>
          </w:tcPr>
          <w:p w:rsidR="00350D58" w:rsidRPr="00C8117B" w:rsidRDefault="00350D58" w:rsidP="000D080E">
            <w:pPr>
              <w:tabs>
                <w:tab w:val="left" w:pos="670"/>
              </w:tabs>
              <w:spacing w:before="120" w:after="0" w:line="240" w:lineRule="auto"/>
              <w:ind w:right="7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3602</w:t>
            </w:r>
          </w:p>
        </w:tc>
        <w:tc>
          <w:tcPr>
            <w:tcW w:w="1701" w:type="dxa"/>
            <w:shd w:val="clear" w:color="auto" w:fill="auto"/>
          </w:tcPr>
          <w:p w:rsidR="00350D58" w:rsidRPr="00C8117B" w:rsidRDefault="0022588C" w:rsidP="00350D58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39.302.345,25</w:t>
            </w:r>
          </w:p>
        </w:tc>
        <w:tc>
          <w:tcPr>
            <w:tcW w:w="1417" w:type="dxa"/>
            <w:shd w:val="clear" w:color="auto" w:fill="auto"/>
          </w:tcPr>
          <w:p w:rsidR="00350D58" w:rsidRPr="00C8117B" w:rsidRDefault="00AA4028" w:rsidP="00350D58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31.008.758</w:t>
            </w:r>
          </w:p>
        </w:tc>
        <w:tc>
          <w:tcPr>
            <w:tcW w:w="1418" w:type="dxa"/>
            <w:shd w:val="clear" w:color="auto" w:fill="auto"/>
          </w:tcPr>
          <w:p w:rsidR="00350D58" w:rsidRPr="00C8117B" w:rsidRDefault="00337685" w:rsidP="00350D58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68.901.755</w:t>
            </w:r>
          </w:p>
        </w:tc>
        <w:tc>
          <w:tcPr>
            <w:tcW w:w="1417" w:type="dxa"/>
            <w:shd w:val="clear" w:color="auto" w:fill="auto"/>
          </w:tcPr>
          <w:p w:rsidR="00350D58" w:rsidRPr="00C8117B" w:rsidRDefault="008959A0" w:rsidP="00350D58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10.200.648</w:t>
            </w:r>
          </w:p>
        </w:tc>
        <w:tc>
          <w:tcPr>
            <w:tcW w:w="1418" w:type="dxa"/>
            <w:shd w:val="clear" w:color="auto" w:fill="auto"/>
          </w:tcPr>
          <w:p w:rsidR="008959A0" w:rsidRPr="00C8117B" w:rsidRDefault="008959A0" w:rsidP="008959A0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14.317.688</w:t>
            </w:r>
          </w:p>
        </w:tc>
        <w:tc>
          <w:tcPr>
            <w:tcW w:w="958" w:type="dxa"/>
            <w:shd w:val="clear" w:color="auto" w:fill="auto"/>
          </w:tcPr>
          <w:p w:rsidR="00350D58" w:rsidRPr="00207E3F" w:rsidRDefault="00F953F8" w:rsidP="00337685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37685" w:rsidRPr="00C8117B">
              <w:rPr>
                <w:rFonts w:ascii="Times New Roman" w:eastAsia="Times New Roman" w:hAnsi="Times New Roman" w:cs="Times New Roman"/>
                <w:lang w:eastAsia="hr-HR"/>
              </w:rPr>
              <w:t>22,20</w:t>
            </w:r>
          </w:p>
        </w:tc>
      </w:tr>
    </w:tbl>
    <w:p w:rsidR="009E024C" w:rsidRPr="00207E3F" w:rsidRDefault="009E024C" w:rsidP="009E024C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9B77C8" w:rsidRPr="00207E3F" w:rsidRDefault="009B77C8" w:rsidP="00A75F6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9E024C" w:rsidRPr="009E024C" w:rsidRDefault="009E024C" w:rsidP="00A75F6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 1. Zaštita, očuvanje i unapređenje zdravlja</w:t>
      </w:r>
    </w:p>
    <w:p w:rsidR="009E024C" w:rsidRPr="009E024C" w:rsidRDefault="009E024C" w:rsidP="009E024C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9E024C" w:rsidRDefault="009E024C" w:rsidP="00A75F6F">
      <w:pPr>
        <w:spacing w:before="120"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 Aktivnost K895002 – IZRAVNA KAPITALNA ULAGANJA</w:t>
      </w:r>
    </w:p>
    <w:p w:rsidR="009E024C" w:rsidRPr="009E024C" w:rsidRDefault="009E024C" w:rsidP="00A75F6F">
      <w:pPr>
        <w:spacing w:before="120" w:after="0" w:line="240" w:lineRule="auto"/>
        <w:ind w:right="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201D86" w:rsidRDefault="009E024C" w:rsidP="00A75F6F">
      <w:pPr>
        <w:spacing w:before="120"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zdravstvenoj zaštiti; Zakon o obveznom zdravstvenom osiguranju; </w:t>
      </w:r>
      <w:r w:rsidR="00201D86" w:rsidRPr="00201D8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proračunskom okviru za razdoblje 202</w:t>
      </w:r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C0EDD">
        <w:rPr>
          <w:rFonts w:ascii="Times New Roman" w:eastAsia="Times New Roman" w:hAnsi="Times New Roman" w:cs="Times New Roman"/>
          <w:sz w:val="24"/>
          <w:szCs w:val="24"/>
          <w:lang w:eastAsia="hr-HR"/>
        </w:rPr>
        <w:t>. - 202</w:t>
      </w:r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01D86" w:rsidRPr="00201D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E024C" w:rsidRPr="009E024C" w:rsidRDefault="009E024C" w:rsidP="00A77817">
      <w:pPr>
        <w:tabs>
          <w:tab w:val="left" w:pos="851"/>
        </w:tabs>
        <w:spacing w:before="240"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Planirana i izvršena financijska sredstva na razini aktivnosti</w:t>
      </w:r>
    </w:p>
    <w:p w:rsidR="009E024C" w:rsidRPr="00067549" w:rsidRDefault="009E024C" w:rsidP="009E024C">
      <w:pPr>
        <w:spacing w:after="0" w:line="240" w:lineRule="auto"/>
        <w:ind w:left="709" w:right="374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544"/>
        <w:gridCol w:w="1382"/>
        <w:gridCol w:w="1245"/>
        <w:gridCol w:w="1306"/>
        <w:gridCol w:w="1322"/>
        <w:gridCol w:w="968"/>
      </w:tblGrid>
      <w:tr w:rsidR="00AA4028" w:rsidRPr="00C8117B" w:rsidTr="00AA4028">
        <w:trPr>
          <w:trHeight w:val="540"/>
        </w:trPr>
        <w:tc>
          <w:tcPr>
            <w:tcW w:w="1327" w:type="dxa"/>
            <w:shd w:val="clear" w:color="auto" w:fill="auto"/>
          </w:tcPr>
          <w:p w:rsidR="00AA4028" w:rsidRPr="00C8117B" w:rsidRDefault="00AA4028" w:rsidP="00AA4028">
            <w:pPr>
              <w:spacing w:before="120"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Naziv aktivnosti</w:t>
            </w:r>
          </w:p>
        </w:tc>
        <w:tc>
          <w:tcPr>
            <w:tcW w:w="1544" w:type="dxa"/>
            <w:shd w:val="clear" w:color="auto" w:fill="auto"/>
          </w:tcPr>
          <w:p w:rsidR="00AA4028" w:rsidRPr="00C8117B" w:rsidRDefault="00AA4028" w:rsidP="00AA4028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382" w:type="dxa"/>
            <w:shd w:val="clear" w:color="auto" w:fill="auto"/>
          </w:tcPr>
          <w:p w:rsidR="00AA4028" w:rsidRPr="00C8117B" w:rsidRDefault="00AA4028" w:rsidP="00AA4028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245" w:type="dxa"/>
            <w:shd w:val="clear" w:color="auto" w:fill="auto"/>
          </w:tcPr>
          <w:p w:rsidR="00AA4028" w:rsidRPr="00C8117B" w:rsidRDefault="00AA4028" w:rsidP="00AA4028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306" w:type="dxa"/>
            <w:shd w:val="clear" w:color="auto" w:fill="auto"/>
          </w:tcPr>
          <w:p w:rsidR="00AA4028" w:rsidRPr="00C8117B" w:rsidRDefault="00AA4028" w:rsidP="00AA4028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322" w:type="dxa"/>
            <w:shd w:val="clear" w:color="auto" w:fill="auto"/>
          </w:tcPr>
          <w:p w:rsidR="00AA4028" w:rsidRPr="00C8117B" w:rsidRDefault="00AA4028" w:rsidP="00AA4028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968" w:type="dxa"/>
            <w:shd w:val="clear" w:color="auto" w:fill="auto"/>
          </w:tcPr>
          <w:p w:rsidR="00AA4028" w:rsidRPr="00C8117B" w:rsidRDefault="00AA4028" w:rsidP="00AA4028">
            <w:pPr>
              <w:rPr>
                <w:rFonts w:ascii="Times New Roman" w:hAnsi="Times New Roman" w:cs="Times New Roman"/>
              </w:rPr>
            </w:pPr>
            <w:r w:rsidRPr="00C8117B">
              <w:rPr>
                <w:rFonts w:ascii="Times New Roman" w:hAnsi="Times New Roman" w:cs="Times New Roman"/>
              </w:rPr>
              <w:t>Indeks 26/25</w:t>
            </w:r>
          </w:p>
        </w:tc>
      </w:tr>
      <w:tr w:rsidR="00450E80" w:rsidRPr="00067549" w:rsidTr="00AA4028">
        <w:trPr>
          <w:trHeight w:val="319"/>
        </w:trPr>
        <w:tc>
          <w:tcPr>
            <w:tcW w:w="1327" w:type="dxa"/>
            <w:shd w:val="clear" w:color="auto" w:fill="auto"/>
          </w:tcPr>
          <w:p w:rsidR="00450E80" w:rsidRPr="00C8117B" w:rsidRDefault="00450E80" w:rsidP="00450E80">
            <w:pPr>
              <w:spacing w:before="120" w:after="0" w:line="240" w:lineRule="auto"/>
              <w:ind w:right="7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K895002</w:t>
            </w:r>
          </w:p>
        </w:tc>
        <w:tc>
          <w:tcPr>
            <w:tcW w:w="1544" w:type="dxa"/>
            <w:shd w:val="clear" w:color="auto" w:fill="auto"/>
          </w:tcPr>
          <w:p w:rsidR="00450E80" w:rsidRPr="00C8117B" w:rsidRDefault="00AA4028" w:rsidP="00A338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21.634.550,81</w:t>
            </w:r>
          </w:p>
        </w:tc>
        <w:tc>
          <w:tcPr>
            <w:tcW w:w="1382" w:type="dxa"/>
            <w:shd w:val="clear" w:color="auto" w:fill="auto"/>
          </w:tcPr>
          <w:p w:rsidR="00450E80" w:rsidRPr="00C8117B" w:rsidRDefault="00C728AA" w:rsidP="007B73E4">
            <w:pPr>
              <w:spacing w:before="120"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11.819.880</w:t>
            </w:r>
          </w:p>
        </w:tc>
        <w:tc>
          <w:tcPr>
            <w:tcW w:w="1245" w:type="dxa"/>
            <w:shd w:val="clear" w:color="auto" w:fill="auto"/>
          </w:tcPr>
          <w:p w:rsidR="00450E80" w:rsidRPr="00C8117B" w:rsidRDefault="00337685" w:rsidP="007B73E4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28.927.578</w:t>
            </w:r>
          </w:p>
        </w:tc>
        <w:tc>
          <w:tcPr>
            <w:tcW w:w="1306" w:type="dxa"/>
            <w:shd w:val="clear" w:color="auto" w:fill="auto"/>
          </w:tcPr>
          <w:p w:rsidR="00450E80" w:rsidRPr="00C8117B" w:rsidRDefault="008959A0" w:rsidP="00357E9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10.200.648</w:t>
            </w:r>
          </w:p>
        </w:tc>
        <w:tc>
          <w:tcPr>
            <w:tcW w:w="1322" w:type="dxa"/>
            <w:shd w:val="clear" w:color="auto" w:fill="auto"/>
          </w:tcPr>
          <w:p w:rsidR="00450E80" w:rsidRPr="00C8117B" w:rsidRDefault="008959A0" w:rsidP="007B73E4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14.317.688</w:t>
            </w:r>
          </w:p>
        </w:tc>
        <w:tc>
          <w:tcPr>
            <w:tcW w:w="968" w:type="dxa"/>
            <w:shd w:val="clear" w:color="auto" w:fill="auto"/>
          </w:tcPr>
          <w:p w:rsidR="00450E80" w:rsidRPr="00067549" w:rsidRDefault="00337685" w:rsidP="0029584F">
            <w:pPr>
              <w:tabs>
                <w:tab w:val="left" w:pos="45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224</w:t>
            </w:r>
            <w:r w:rsidR="0029584F" w:rsidRPr="00C8117B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74</w:t>
            </w:r>
          </w:p>
        </w:tc>
      </w:tr>
    </w:tbl>
    <w:p w:rsidR="009E024C" w:rsidRPr="00067549" w:rsidRDefault="009E024C" w:rsidP="00A77817">
      <w:pPr>
        <w:tabs>
          <w:tab w:val="left" w:pos="851"/>
        </w:tabs>
        <w:spacing w:before="120" w:after="0" w:line="240" w:lineRule="auto"/>
        <w:ind w:right="374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9E024C" w:rsidRPr="009E024C" w:rsidRDefault="009E024C" w:rsidP="00A75F6F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Prikaz i obrazloženje izračuna financijskih sredstava </w:t>
      </w:r>
    </w:p>
    <w:p w:rsidR="00275B3D" w:rsidRDefault="00275B3D" w:rsidP="0074336F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9E024C" w:rsidRPr="0041209A">
        <w:rPr>
          <w:rFonts w:ascii="Times New Roman" w:eastAsia="Times New Roman" w:hAnsi="Times New Roman" w:cs="Times New Roman"/>
          <w:sz w:val="24"/>
          <w:szCs w:val="24"/>
          <w:lang w:eastAsia="hr-HR"/>
        </w:rPr>
        <w:t>a izravna kapitalna ulaganja u 202</w:t>
      </w:r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E024C" w:rsidRPr="0041209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75B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izvoru financiranja 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09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prihodi i primici</w:t>
      </w:r>
      <w:r w:rsidR="006609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 je</w:t>
      </w:r>
      <w:r w:rsidR="009E024C" w:rsidRPr="004120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26.013.236 eura sukladno dostavljenim limitima od strane Ministarstva zdravstva, naknadno uvećanim za 1.875.000 eura za nabavu MR uređaja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brahiterapiju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koji smo dobili suglasnost za 2025. godinu</w:t>
      </w:r>
      <w:r w:rsidR="004E1079">
        <w:rPr>
          <w:rFonts w:ascii="Times New Roman" w:eastAsia="Times New Roman" w:hAnsi="Times New Roman" w:cs="Times New Roman"/>
          <w:sz w:val="24"/>
          <w:szCs w:val="24"/>
          <w:lang w:eastAsia="hr-HR"/>
        </w:rPr>
        <w:t>, ali nismo dovršili postupak nabave</w:t>
      </w:r>
      <w:r w:rsidR="00915E87">
        <w:rPr>
          <w:rFonts w:ascii="Times New Roman" w:eastAsia="Times New Roman" w:hAnsi="Times New Roman" w:cs="Times New Roman"/>
          <w:sz w:val="24"/>
          <w:szCs w:val="24"/>
          <w:lang w:eastAsia="hr-HR"/>
        </w:rPr>
        <w:t>, te će isti biti realiziran u 2026. godini uz novu suglasnost Ministarstva zdravstva</w:t>
      </w:r>
      <w:r w:rsidR="004E107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navedenog uređaja, još se </w:t>
      </w:r>
      <w:r w:rsidR="00C359E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C7F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359E7">
        <w:rPr>
          <w:rFonts w:ascii="Times New Roman" w:eastAsia="Times New Roman" w:hAnsi="Times New Roman" w:cs="Times New Roman"/>
          <w:sz w:val="24"/>
          <w:szCs w:val="24"/>
          <w:lang w:eastAsia="hr-HR"/>
        </w:rPr>
        <w:t>266</w:t>
      </w:r>
      <w:r w:rsidR="005C7F81">
        <w:rPr>
          <w:rFonts w:ascii="Times New Roman" w:eastAsia="Times New Roman" w:hAnsi="Times New Roman" w:cs="Times New Roman"/>
          <w:sz w:val="24"/>
          <w:szCs w:val="24"/>
          <w:lang w:eastAsia="hr-HR"/>
        </w:rPr>
        <w:t>.175 eura odnosi na nabavku medicinske opreme za koju je dobivena suglasnost Ministarst</w:t>
      </w:r>
      <w:r w:rsidR="00B817A9">
        <w:rPr>
          <w:rFonts w:ascii="Times New Roman" w:eastAsia="Times New Roman" w:hAnsi="Times New Roman" w:cs="Times New Roman"/>
          <w:sz w:val="24"/>
          <w:szCs w:val="24"/>
          <w:lang w:eastAsia="hr-HR"/>
        </w:rPr>
        <w:t>va zdravstva u 2025. godini</w:t>
      </w:r>
      <w:r w:rsidR="00C359E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37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za koje nismo izvršili plaćanje u 2025. godini sa svrhom racionalizacije potrošnje i iskazivanjem maksimalnih ušteda na rashodovnoj strani limitiranih izvora prema naputku Ministarstva zdravstva, pa su navedeni iznosi </w:t>
      </w:r>
      <w:r w:rsidR="004E107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za 2026. godinu.</w:t>
      </w:r>
    </w:p>
    <w:p w:rsidR="00915E87" w:rsidRDefault="00337685" w:rsidP="0074336F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7A31">
        <w:rPr>
          <w:rFonts w:ascii="Times New Roman" w:eastAsia="Times New Roman" w:hAnsi="Times New Roman" w:cs="Times New Roman"/>
          <w:sz w:val="24"/>
          <w:szCs w:val="24"/>
          <w:lang w:eastAsia="hr-HR"/>
        </w:rPr>
        <w:t>Najveći dio ukupno p</w:t>
      </w:r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laniranih sredstava 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83,25</w:t>
      </w:r>
      <w:r w:rsidR="00B264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namijenjen je </w:t>
      </w:r>
      <w:proofErr w:type="spellStart"/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>zanavljanju</w:t>
      </w:r>
      <w:proofErr w:type="spellEnd"/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0E5F" w:rsidRP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>neophodne medicinske opreme</w:t>
      </w:r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7A31">
        <w:rPr>
          <w:rFonts w:ascii="Times New Roman" w:eastAsia="Times New Roman" w:hAnsi="Times New Roman" w:cs="Times New Roman"/>
          <w:sz w:val="24"/>
          <w:szCs w:val="24"/>
          <w:lang w:eastAsia="hr-HR"/>
        </w:rPr>
        <w:t>kao što je</w:t>
      </w:r>
      <w:r w:rsidR="006A0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76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kirurški </w:t>
      </w:r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robotski </w:t>
      </w:r>
      <w:r w:rsidR="007B7692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</w:t>
      </w:r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>, gama kamere, dva MR uređaja, UZV uređaji, oprem</w:t>
      </w:r>
      <w:r w:rsidR="00915E8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7B7692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jedinicu intenzivnog liječenja</w:t>
      </w:r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novorođenčadi, </w:t>
      </w:r>
      <w:r w:rsidR="007B7692">
        <w:rPr>
          <w:rFonts w:ascii="Times New Roman" w:eastAsia="Times New Roman" w:hAnsi="Times New Roman" w:cs="Times New Roman"/>
          <w:sz w:val="24"/>
          <w:szCs w:val="24"/>
          <w:lang w:eastAsia="hr-HR"/>
        </w:rPr>
        <w:t>RTG</w:t>
      </w:r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uređaj za potrebe izvođenja ERCP-a, anesteziološk</w:t>
      </w:r>
      <w:r w:rsidR="00915E8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uređaj</w:t>
      </w:r>
      <w:r w:rsidR="00915E8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>laparoskopski</w:t>
      </w:r>
      <w:proofErr w:type="spellEnd"/>
      <w:r w:rsidR="00FF5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stup, ehokardiografski aparat, </w:t>
      </w:r>
      <w:r w:rsidR="002E42B1">
        <w:rPr>
          <w:rFonts w:ascii="Times New Roman" w:eastAsia="Times New Roman" w:hAnsi="Times New Roman" w:cs="Times New Roman"/>
          <w:sz w:val="24"/>
          <w:szCs w:val="24"/>
          <w:lang w:eastAsia="hr-HR"/>
        </w:rPr>
        <w:t>CO2 laser, uređaj za aktivnu ventilaciju – digestor, radiokemijski mikrobiološki zaštitni kabinet, plazma sterilizato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r, </w:t>
      </w:r>
      <w:r w:rsidR="002E42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</w:t>
      </w:r>
      <w:r w:rsidR="00915E8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2B1"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 w:rsidR="00915E8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E42B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E024C" w:rsidRDefault="001E036B" w:rsidP="0074336F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</w:t>
      </w:r>
      <w:r w:rsidR="002E42B1">
        <w:rPr>
          <w:rFonts w:ascii="Times New Roman" w:eastAsia="Times New Roman" w:hAnsi="Times New Roman" w:cs="Times New Roman"/>
          <w:sz w:val="24"/>
          <w:szCs w:val="24"/>
          <w:lang w:eastAsia="hr-HR"/>
        </w:rPr>
        <w:t>a dodatna ulaganja na građevinskim objektima odnosi se 1</w:t>
      </w:r>
      <w:r w:rsidR="00337685">
        <w:rPr>
          <w:rFonts w:ascii="Times New Roman" w:eastAsia="Times New Roman" w:hAnsi="Times New Roman" w:cs="Times New Roman"/>
          <w:sz w:val="24"/>
          <w:szCs w:val="24"/>
          <w:lang w:eastAsia="hr-HR"/>
        </w:rPr>
        <w:t>6,7</w:t>
      </w:r>
      <w:r w:rsidR="002E42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5 % planiranih sredstava </w:t>
      </w:r>
      <w:r w:rsidR="002E42B1" w:rsidRPr="001E03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kojih će se najveći dio utrošiti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2E42B1" w:rsidRPr="001E03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građevinske radove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dodatne kvadrate </w:t>
      </w:r>
      <w:r w:rsidR="002E42B1" w:rsidRPr="001E036B">
        <w:rPr>
          <w:rFonts w:ascii="Times New Roman" w:eastAsia="Times New Roman" w:hAnsi="Times New Roman" w:cs="Times New Roman"/>
          <w:sz w:val="24"/>
          <w:szCs w:val="24"/>
          <w:lang w:eastAsia="hr-HR"/>
        </w:rPr>
        <w:t>na Zgradi 4 i 7</w:t>
      </w:r>
      <w:r w:rsidR="00C01DC1" w:rsidRPr="001E03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336F" w:rsidRPr="001E036B">
        <w:rPr>
          <w:rFonts w:ascii="Times New Roman" w:eastAsia="Times New Roman" w:hAnsi="Times New Roman" w:cs="Times New Roman"/>
          <w:sz w:val="24"/>
          <w:szCs w:val="24"/>
          <w:lang w:eastAsia="hr-HR"/>
        </w:rPr>
        <w:t>koji nisu obuhvaćeni sanacijom štete od potresa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43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</w:t>
      </w:r>
      <w:r w:rsidR="00743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trafostanic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po principu „ključ u ruke“</w:t>
      </w:r>
      <w:r w:rsidRPr="001E036B">
        <w:t xml:space="preserve"> </w:t>
      </w:r>
      <w: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radove</w:t>
      </w:r>
      <w:r w:rsidRPr="001E03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optimalizaciji postojeće elektroenergetske mreže</w:t>
      </w:r>
      <w:r w:rsidR="00743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B0A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povećanja kvalitete i većih mogućnosti u pružanju zdravstvenih usluga </w:t>
      </w:r>
      <w:r w:rsidR="00D750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primjenom novijih tehnologija </w:t>
      </w:r>
      <w:r w:rsidR="001B0A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planirali smo i </w:t>
      </w:r>
      <w:r w:rsidR="001B0AAB" w:rsidRPr="001B0AAB">
        <w:rPr>
          <w:rFonts w:ascii="Times New Roman" w:eastAsia="Times New Roman" w:hAnsi="Times New Roman" w:cs="Times New Roman"/>
          <w:sz w:val="24"/>
          <w:szCs w:val="24"/>
          <w:lang w:eastAsia="hr-HR"/>
        </w:rPr>
        <w:t>nadogradnj</w:t>
      </w:r>
      <w:r w:rsidR="001B0AA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B0AAB" w:rsidRPr="001B0A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postojećeg PACS/RIS sustava</w:t>
      </w:r>
      <w:r w:rsidR="00D750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E42B1">
        <w:rPr>
          <w:rFonts w:ascii="Times New Roman" w:eastAsia="Times New Roman" w:hAnsi="Times New Roman" w:cs="Times New Roman"/>
          <w:sz w:val="24"/>
          <w:szCs w:val="24"/>
          <w:lang w:eastAsia="hr-HR"/>
        </w:rPr>
        <w:t>te sustava za praćenje digitalnog puta lijeka.</w:t>
      </w:r>
      <w:r w:rsidR="001B0A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E024C" w:rsidRDefault="00552AD8" w:rsidP="00552AD8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552AD8">
        <w:rPr>
          <w:rFonts w:ascii="Times New Roman" w:eastAsia="Times New Roman" w:hAnsi="Times New Roman" w:cs="Times New Roman"/>
          <w:sz w:val="24"/>
          <w:szCs w:val="24"/>
          <w:lang w:eastAsia="hr-HR"/>
        </w:rPr>
        <w:t>a kapitalna ulaganja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52AD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 w:rsidR="004C7E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iran je iznos od 8.794.000 eura,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je za 2028. godinu planirano 12.894.000 eura </w:t>
      </w:r>
      <w:r w:rsidRPr="00D750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izvoru financiranja 11</w:t>
      </w:r>
      <w:r w:rsidR="00915E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15E8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dostavljenim iznosima od strane Ministarstva zdravstva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koristili bi se u najvećem dijelu za nabavku neophodne </w:t>
      </w:r>
      <w:r w:rsidR="00B475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medicinske </w:t>
      </w:r>
      <w:r w:rsidR="00D750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opreme i radova. </w:t>
      </w:r>
    </w:p>
    <w:p w:rsidR="00866305" w:rsidRPr="00585DEC" w:rsidRDefault="008E28B2" w:rsidP="00C21FC2">
      <w:pPr>
        <w:tabs>
          <w:tab w:val="left" w:pos="851"/>
        </w:tabs>
        <w:spacing w:before="120"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585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izvora financiranja 31 Vlastiti prihodi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kapitalna ulaganja predviđa se iznos od </w:t>
      </w:r>
      <w:r w:rsidR="00C60F7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1.385.700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0A09B8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, od čega se najveći dio u iznosu od 1.165.</w:t>
      </w:r>
      <w:r w:rsidR="00C60F7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200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odnosi na nabavku medic</w:t>
      </w:r>
      <w:r w:rsidR="00C60F7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inske i laboratorijske opreme. Za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60F7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60F7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 p</w:t>
      </w:r>
      <w:r w:rsidR="004C7E0D">
        <w:rPr>
          <w:rFonts w:ascii="Times New Roman" w:eastAsia="Times New Roman" w:hAnsi="Times New Roman" w:cs="Times New Roman"/>
          <w:sz w:val="24"/>
          <w:szCs w:val="24"/>
          <w:lang w:eastAsia="hr-HR"/>
        </w:rPr>
        <w:t>lanira</w:t>
      </w:r>
      <w:r w:rsidR="00C60F7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n je iznos od 1.389.700 eura, a za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60F7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godinu iznos od 1.406.750 eura od kojih će se najveći dio utrošiti </w:t>
      </w:r>
      <w:r w:rsidR="00866305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na nabavku opreme.</w:t>
      </w:r>
    </w:p>
    <w:p w:rsidR="008E28B2" w:rsidRDefault="00866305" w:rsidP="00A53AC9">
      <w:pPr>
        <w:tabs>
          <w:tab w:val="left" w:pos="851"/>
        </w:tabs>
        <w:spacing w:before="120"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42CBA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342CBA" w:rsidRPr="00585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izvoru</w:t>
      </w:r>
      <w:r w:rsidR="00C21FC2" w:rsidRPr="00585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financiranja 61 Donacije</w:t>
      </w:r>
      <w:r w:rsidR="00D953AB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630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 je iznos od 1.527.484 eura, od kojih se najveći dio odnosi na donaciju sredstava 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Američke ambasade </w:t>
      </w:r>
      <w:r w:rsidR="00751C58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namijenjenih </w:t>
      </w:r>
      <w:r w:rsidR="00903237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izgradnj</w:t>
      </w:r>
      <w:r w:rsidR="00751C58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i i uređenju</w:t>
      </w:r>
      <w:r w:rsidR="00903237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nove z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grade za smještaj dnevne bolnice i poliklinike Klinike za psihijatriju</w:t>
      </w:r>
      <w:r w:rsidR="00287A31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53AC9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U 2027. i 2028. godini planirani iznos od 15.800 eura najvećim se dijelom odnosi na donacije vezane za medicinsku i laboratorijsku opremu.</w:t>
      </w:r>
    </w:p>
    <w:p w:rsidR="00D953AB" w:rsidRDefault="00D953AB" w:rsidP="00C056C1">
      <w:pPr>
        <w:tabs>
          <w:tab w:val="left" w:pos="851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24C" w:rsidRPr="009E024C" w:rsidRDefault="009E024C" w:rsidP="00C056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0D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rezultata</w:t>
      </w:r>
    </w:p>
    <w:tbl>
      <w:tblPr>
        <w:tblW w:w="9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917"/>
        <w:gridCol w:w="1087"/>
        <w:gridCol w:w="996"/>
        <w:gridCol w:w="1087"/>
        <w:gridCol w:w="1176"/>
        <w:gridCol w:w="1144"/>
      </w:tblGrid>
      <w:tr w:rsidR="009E024C" w:rsidRPr="009E024C" w:rsidTr="00A75F6F">
        <w:tc>
          <w:tcPr>
            <w:tcW w:w="1242" w:type="dxa"/>
            <w:shd w:val="clear" w:color="auto" w:fill="auto"/>
          </w:tcPr>
          <w:p w:rsidR="009E024C" w:rsidRPr="00F9530E" w:rsidRDefault="009E024C" w:rsidP="00781DFF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Pokazatelj rezultata</w:t>
            </w:r>
          </w:p>
        </w:tc>
        <w:tc>
          <w:tcPr>
            <w:tcW w:w="1843" w:type="dxa"/>
            <w:shd w:val="clear" w:color="auto" w:fill="auto"/>
          </w:tcPr>
          <w:p w:rsidR="009E024C" w:rsidRPr="00F9530E" w:rsidRDefault="009E024C" w:rsidP="00F9530E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Definicija</w:t>
            </w:r>
          </w:p>
        </w:tc>
        <w:tc>
          <w:tcPr>
            <w:tcW w:w="917" w:type="dxa"/>
            <w:shd w:val="clear" w:color="auto" w:fill="auto"/>
          </w:tcPr>
          <w:p w:rsidR="009E024C" w:rsidRPr="00F9530E" w:rsidRDefault="009E024C" w:rsidP="00F9530E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Jedinica</w:t>
            </w:r>
          </w:p>
        </w:tc>
        <w:tc>
          <w:tcPr>
            <w:tcW w:w="1087" w:type="dxa"/>
            <w:shd w:val="clear" w:color="auto" w:fill="auto"/>
          </w:tcPr>
          <w:p w:rsidR="009E024C" w:rsidRPr="00F9530E" w:rsidRDefault="009E024C" w:rsidP="00F9530E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Polazna vrijednost</w:t>
            </w:r>
          </w:p>
          <w:p w:rsidR="009E024C" w:rsidRPr="00F9530E" w:rsidRDefault="009E024C" w:rsidP="00F9530E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6" w:type="dxa"/>
            <w:shd w:val="clear" w:color="auto" w:fill="auto"/>
          </w:tcPr>
          <w:p w:rsidR="009E024C" w:rsidRPr="00F9530E" w:rsidRDefault="009E024C" w:rsidP="00F9530E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Izvor podataka</w:t>
            </w:r>
          </w:p>
        </w:tc>
        <w:tc>
          <w:tcPr>
            <w:tcW w:w="1087" w:type="dxa"/>
            <w:shd w:val="clear" w:color="auto" w:fill="auto"/>
          </w:tcPr>
          <w:p w:rsidR="009E024C" w:rsidRPr="00F9530E" w:rsidRDefault="00475125" w:rsidP="00F9530E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Ciljana vrijednost (2026</w:t>
            </w:r>
            <w:r w:rsidR="009E024C" w:rsidRPr="00F9530E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1176" w:type="dxa"/>
            <w:shd w:val="clear" w:color="auto" w:fill="auto"/>
          </w:tcPr>
          <w:p w:rsidR="009E024C" w:rsidRPr="00F9530E" w:rsidRDefault="009E024C" w:rsidP="0047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Ciljana vrijednost (202</w:t>
            </w:r>
            <w:r w:rsidR="00475125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1144" w:type="dxa"/>
            <w:shd w:val="clear" w:color="auto" w:fill="auto"/>
          </w:tcPr>
          <w:p w:rsidR="009E024C" w:rsidRPr="00F9530E" w:rsidRDefault="009E024C" w:rsidP="00B9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Ciljana vrijednost (202</w:t>
            </w:r>
            <w:r w:rsidR="00475125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</w:tr>
      <w:tr w:rsidR="009E024C" w:rsidRPr="009E024C" w:rsidTr="00A75F6F">
        <w:tc>
          <w:tcPr>
            <w:tcW w:w="1242" w:type="dxa"/>
            <w:shd w:val="clear" w:color="auto" w:fill="auto"/>
          </w:tcPr>
          <w:p w:rsidR="009E024C" w:rsidRPr="00F9530E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Stopa učešća otpisane vrijednosti u odnosu</w:t>
            </w:r>
          </w:p>
          <w:p w:rsidR="009E024C" w:rsidRPr="00F9530E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na nabavnu vrijednost postrojenja i opreme</w:t>
            </w:r>
          </w:p>
        </w:tc>
        <w:tc>
          <w:tcPr>
            <w:tcW w:w="1843" w:type="dxa"/>
            <w:shd w:val="clear" w:color="auto" w:fill="auto"/>
          </w:tcPr>
          <w:p w:rsidR="009E024C" w:rsidRPr="00F9530E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Nabavkom nove opreme postotak učešća otpisane vrijednosti u</w:t>
            </w:r>
          </w:p>
          <w:p w:rsidR="009E024C" w:rsidRPr="00F9530E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odnosu na</w:t>
            </w:r>
          </w:p>
          <w:p w:rsidR="009E024C" w:rsidRPr="00F9530E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nabavnu vrijednost će se</w:t>
            </w:r>
          </w:p>
          <w:p w:rsidR="009E024C" w:rsidRPr="00F9530E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povećavati u</w:t>
            </w:r>
          </w:p>
          <w:p w:rsidR="009E024C" w:rsidRPr="00F9530E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 xml:space="preserve">manjem postotku </w:t>
            </w:r>
          </w:p>
        </w:tc>
        <w:tc>
          <w:tcPr>
            <w:tcW w:w="917" w:type="dxa"/>
            <w:shd w:val="clear" w:color="auto" w:fill="auto"/>
          </w:tcPr>
          <w:p w:rsidR="009E024C" w:rsidRPr="00F9530E" w:rsidRDefault="009E024C" w:rsidP="00325024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F9530E" w:rsidRDefault="009E024C" w:rsidP="00325024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F9530E" w:rsidRDefault="009E024C" w:rsidP="00325024">
            <w:pPr>
              <w:tabs>
                <w:tab w:val="left" w:pos="176"/>
              </w:tabs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F9530E" w:rsidRDefault="009E024C" w:rsidP="00325024">
            <w:pPr>
              <w:tabs>
                <w:tab w:val="left" w:pos="176"/>
              </w:tabs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F9530E" w:rsidRDefault="009E024C" w:rsidP="00325024">
            <w:pPr>
              <w:spacing w:after="0" w:line="240" w:lineRule="auto"/>
              <w:ind w:left="34" w:right="657" w:hanging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%</w:t>
            </w:r>
          </w:p>
        </w:tc>
        <w:tc>
          <w:tcPr>
            <w:tcW w:w="1087" w:type="dxa"/>
            <w:shd w:val="clear" w:color="auto" w:fill="auto"/>
          </w:tcPr>
          <w:p w:rsidR="009E024C" w:rsidRPr="00F9530E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</w:p>
          <w:p w:rsidR="009E024C" w:rsidRPr="00F9530E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</w:p>
          <w:p w:rsidR="009E024C" w:rsidRPr="00F9530E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</w:p>
          <w:p w:rsidR="009E024C" w:rsidRPr="00F9530E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</w:p>
          <w:p w:rsidR="009E024C" w:rsidRPr="00F9530E" w:rsidRDefault="00B935A3" w:rsidP="006E5D3A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6E5D3A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,9</w:t>
            </w:r>
            <w:r w:rsidR="006E5D3A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9E024C" w:rsidRPr="00F9530E" w:rsidRDefault="009E024C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F9530E" w:rsidRDefault="009E024C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F9530E" w:rsidRDefault="009E024C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F9530E" w:rsidRDefault="009E024C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530E">
              <w:rPr>
                <w:rFonts w:ascii="Times New Roman" w:eastAsia="Times New Roman" w:hAnsi="Times New Roman" w:cs="Times New Roman"/>
                <w:lang w:eastAsia="hr-HR"/>
              </w:rPr>
              <w:t>Računovodstvo</w:t>
            </w:r>
          </w:p>
        </w:tc>
        <w:tc>
          <w:tcPr>
            <w:tcW w:w="1087" w:type="dxa"/>
            <w:shd w:val="clear" w:color="auto" w:fill="auto"/>
          </w:tcPr>
          <w:p w:rsidR="009E024C" w:rsidRPr="006F5FD1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B935A3" w:rsidP="006E5D3A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F5FD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6E5D3A" w:rsidRPr="006F5FD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54361B" w:rsidRPr="006F5FD1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6E5D3A" w:rsidRPr="006F5FD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54361B" w:rsidRPr="006F5FD1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9E024C" w:rsidRPr="006F5FD1" w:rsidRDefault="009E024C" w:rsidP="009E024C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B935A3" w:rsidP="006E5D3A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F5FD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6E5D3A" w:rsidRPr="006F5FD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54361B" w:rsidRPr="006F5FD1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6E5D3A" w:rsidRPr="006F5FD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54361B" w:rsidRPr="006F5FD1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44" w:type="dxa"/>
            <w:shd w:val="clear" w:color="auto" w:fill="auto"/>
          </w:tcPr>
          <w:p w:rsidR="009E024C" w:rsidRPr="006F5FD1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9E024C" w:rsidP="009E024C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6F5FD1" w:rsidRDefault="0054361B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F5FD1">
              <w:rPr>
                <w:rFonts w:ascii="Times New Roman" w:eastAsia="Times New Roman" w:hAnsi="Times New Roman" w:cs="Times New Roman"/>
                <w:lang w:eastAsia="hr-HR"/>
              </w:rPr>
              <w:t>74,50</w:t>
            </w:r>
          </w:p>
        </w:tc>
      </w:tr>
    </w:tbl>
    <w:p w:rsidR="00BE547F" w:rsidRDefault="00BE547F" w:rsidP="002C57D6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57D6" w:rsidRDefault="002C57D6" w:rsidP="002C57D6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A3D4E" w:rsidRDefault="003A3D4E" w:rsidP="002C57D6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F01472" w:rsidRDefault="009E024C" w:rsidP="002C57D6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 Aktivnost K895007 – SANACIJA ŠTET</w:t>
      </w:r>
      <w:r w:rsidR="004A48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POTRESA </w:t>
      </w:r>
    </w:p>
    <w:p w:rsidR="009E024C" w:rsidRPr="00F01472" w:rsidRDefault="009E024C" w:rsidP="00A77817">
      <w:pPr>
        <w:spacing w:before="240" w:after="0" w:line="240" w:lineRule="auto"/>
        <w:ind w:right="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BE547F" w:rsidRDefault="009E024C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Vlade RH o načinu raspodjele bespovratnih financijskih sredstava iz Fonda solidarnosti Europske unije odobrenih za financiranje sanacije šteta od potresa na području grada Zagreba, Krapinsko-zagorske županije, Zagrebačke županije, Sisačko-moslavačke županije, Karlovačke županije, Varaždinske županije, Međimurske županije, Brodsko-posavske županije i Bjelovarsko-bilogorske županije, imenovanju i određivanju zaduženja Nacionalnog koordinacijskog tijela, tijela odgovornih za provedbu financijskog doprinosa i neovisnog revizijskog tijela (NN 125/20); Ugovor o dodjeli bespovratnih financijskih sredstava za operacije koje se financiraju iz Fonda solidarnosti Europske unije za operaciju „Projekt obnove od potresa Upravne zgrade“ – referentni broj Ugovora o dodjeli bespovratnih financijskih sredstava: FSEU2021.MZ007;</w:t>
      </w:r>
      <w:r w:rsidR="00A77817"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Dodatak I, II i III navedenom Ugovoru;</w:t>
      </w: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</w:t>
      </w: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dodjeli bespovratnih financijskih sredstava za operacije koje se financiraju iz Fonda solidarnosti Europske unije za operaciju „Projekt obnove od potresa Zgrade Interna 2“ – referentni broj Ugovora o dodjeli bespovratnih financijskih sredstava: FSEU.2021.MZ.005; </w:t>
      </w:r>
      <w:r w:rsidR="00A77817"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Dodatak I, II i III navedenom Ugovoru; </w:t>
      </w: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dodjeli bespovratnih financijskih sredstava za operacije koje se financiraju iz Fonda solidarnosti Europske unije za operaciju „Projekt obnove od potresa Zgrade Interna 3“ – referentni broj Ugovora o dodjeli bespovratnih financijskih sredstava: FSEU.2021.MZ.006;</w:t>
      </w:r>
      <w:r w:rsidR="00A77817"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Dodatak I, II i III navedenom Ugovoru;</w:t>
      </w: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dodjeli bespovratnih financijskih sredstava za operacije koje se financiraju iz Fonda solidarnosti Europske unije za operaciju „Projekt obnove od potresa Zgrade 7 Klinički zavod za kemiju i endokrinologiju“ – referentni broj Ugovora o dodjeli bespovratnih financijskih sredstava: FSEU.2021.MZ.023;</w:t>
      </w:r>
      <w:r w:rsidR="00A77817"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Dodatak I, II i III navedenom Ugovoru;</w:t>
      </w: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dodjeli bespovratnih financijskih sredstava za operacije koje se financiraju iz Fonda solidarnosti Europske unije za operaciju „Projekt obnove od potresa Zgrade 4 Klinika za očne bolesti i Klinika za kožne i spolne bolesti“ – referentni broj Ugovora o dodjeli bespovratnih financijskih sredstava: FSEU.2021.MZ.033;</w:t>
      </w:r>
      <w:r w:rsidR="00A77817"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Dodatak I, II i III navedenom Ugovoru;</w:t>
      </w: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dodjeli bespovratnih financijskih sredstava za operacije koje se financiraju iz Fonda solidarnosti Europske unije za operaciju „Projekt obnove od potresa Zgrade 9 Zgrada Klinike za kirurgiju“ – referentni broj Ugovora o dodjeli bespovratnih financijskih sredstava: FSEU.2021.MZ.040; </w:t>
      </w:r>
      <w:r w:rsidR="00A77817"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Dodatak I, II i III navedenom Ugovoru; </w:t>
      </w:r>
      <w:r w:rsidRPr="00F0147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dodjeli bespovratnih financijskih sredstava za operacije koje se financiraju iz Fonda solidarnosti Europske unije za operaciju „Projekt obnove od potresa Zgrade 5 – Zgrada pedijatrije, ORL, URL i ginekologije“ – referentni broj Ugovora o dodjeli bespovratnih financijskih sredstava: FSEU.2022.MZ.033; Ugovor o dodjeli bespovratnih financijskih sredstava za operacije koje se financiraju iz Fonda solidarnosti Europske unije za operaciju „Projekt obnove od potresa zgrade klinike za traumatologiju“ – referentni broj Ugovora o dodjeli bespovratnih financijsk</w:t>
      </w:r>
      <w:r w:rsidR="00627CA5">
        <w:rPr>
          <w:rFonts w:ascii="Times New Roman" w:eastAsia="Times New Roman" w:hAnsi="Times New Roman" w:cs="Times New Roman"/>
          <w:sz w:val="24"/>
          <w:szCs w:val="24"/>
          <w:lang w:eastAsia="hr-HR"/>
        </w:rPr>
        <w:t>ih sredstava: FSEU.2022.MZ.031</w:t>
      </w:r>
    </w:p>
    <w:p w:rsidR="002C57D6" w:rsidRDefault="002C57D6" w:rsidP="00C056C1">
      <w:pPr>
        <w:spacing w:after="0" w:line="24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C57D6" w:rsidRPr="00F01472" w:rsidRDefault="002C57D6" w:rsidP="002C57D6">
      <w:pPr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Planirana i izvršena financijska sredstva na razini aktivnosti</w:t>
      </w:r>
    </w:p>
    <w:p w:rsidR="009E024C" w:rsidRPr="007E2454" w:rsidRDefault="008C55BF" w:rsidP="00645BDC">
      <w:pPr>
        <w:shd w:val="clear" w:color="auto" w:fill="FFFFFF" w:themeFill="background1"/>
        <w:tabs>
          <w:tab w:val="left" w:pos="851"/>
        </w:tabs>
        <w:spacing w:after="0" w:line="240" w:lineRule="auto"/>
        <w:ind w:left="709" w:right="374"/>
        <w:jc w:val="both"/>
        <w:rPr>
          <w:rFonts w:ascii="Times New Roman" w:eastAsia="Times New Roman" w:hAnsi="Times New Roman" w:cs="Times New Roman"/>
          <w:b/>
          <w:highlight w:val="yellow"/>
          <w:lang w:eastAsia="hr-HR"/>
        </w:rPr>
      </w:pPr>
      <w:r w:rsidRPr="007E2454">
        <w:rPr>
          <w:rFonts w:ascii="Times New Roman" w:eastAsia="Times New Roman" w:hAnsi="Times New Roman" w:cs="Times New Roman"/>
          <w:b/>
          <w:highlight w:val="yellow"/>
          <w:lang w:eastAsia="hr-HR"/>
        </w:rPr>
        <w:t xml:space="preserve"> </w:t>
      </w:r>
    </w:p>
    <w:tbl>
      <w:tblPr>
        <w:tblW w:w="9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10"/>
        <w:gridCol w:w="1275"/>
        <w:gridCol w:w="1289"/>
        <w:gridCol w:w="1246"/>
        <w:gridCol w:w="1246"/>
        <w:gridCol w:w="1402"/>
      </w:tblGrid>
      <w:tr w:rsidR="00AA4028" w:rsidRPr="007E2454" w:rsidTr="00AA4028">
        <w:trPr>
          <w:trHeight w:val="596"/>
        </w:trPr>
        <w:tc>
          <w:tcPr>
            <w:tcW w:w="1084" w:type="dxa"/>
            <w:shd w:val="clear" w:color="auto" w:fill="auto"/>
          </w:tcPr>
          <w:p w:rsidR="00AA4028" w:rsidRPr="007E2454" w:rsidRDefault="00AA4028" w:rsidP="00AA4028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 w:rsidRPr="007E2454">
              <w:rPr>
                <w:rFonts w:ascii="Times New Roman" w:eastAsia="Times New Roman" w:hAnsi="Times New Roman" w:cs="Times New Roman"/>
                <w:lang w:eastAsia="hr-HR"/>
              </w:rPr>
              <w:t>Naziv aktivnosti</w:t>
            </w:r>
          </w:p>
        </w:tc>
        <w:tc>
          <w:tcPr>
            <w:tcW w:w="1610" w:type="dxa"/>
            <w:shd w:val="clear" w:color="auto" w:fill="auto"/>
          </w:tcPr>
          <w:p w:rsidR="00AA4028" w:rsidRPr="007E2454" w:rsidRDefault="00AA4028" w:rsidP="00AA4028">
            <w:pPr>
              <w:rPr>
                <w:rFonts w:ascii="Times New Roman" w:hAnsi="Times New Roman" w:cs="Times New Roman"/>
              </w:rPr>
            </w:pPr>
            <w:r w:rsidRPr="007E2454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275" w:type="dxa"/>
            <w:shd w:val="clear" w:color="auto" w:fill="auto"/>
          </w:tcPr>
          <w:p w:rsidR="00AA4028" w:rsidRPr="007E2454" w:rsidRDefault="00AA4028" w:rsidP="00AA4028">
            <w:pPr>
              <w:rPr>
                <w:rFonts w:ascii="Times New Roman" w:hAnsi="Times New Roman" w:cs="Times New Roman"/>
              </w:rPr>
            </w:pPr>
            <w:r w:rsidRPr="007E2454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289" w:type="dxa"/>
            <w:shd w:val="clear" w:color="auto" w:fill="auto"/>
          </w:tcPr>
          <w:p w:rsidR="00AA4028" w:rsidRPr="007E2454" w:rsidRDefault="00AA4028" w:rsidP="00AA4028">
            <w:pPr>
              <w:rPr>
                <w:rFonts w:ascii="Times New Roman" w:hAnsi="Times New Roman" w:cs="Times New Roman"/>
              </w:rPr>
            </w:pPr>
            <w:r w:rsidRPr="007E2454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246" w:type="dxa"/>
            <w:shd w:val="clear" w:color="auto" w:fill="auto"/>
          </w:tcPr>
          <w:p w:rsidR="00AA4028" w:rsidRPr="007E2454" w:rsidRDefault="00AA4028" w:rsidP="00AA4028">
            <w:pPr>
              <w:rPr>
                <w:rFonts w:ascii="Times New Roman" w:hAnsi="Times New Roman" w:cs="Times New Roman"/>
              </w:rPr>
            </w:pPr>
            <w:r w:rsidRPr="007E2454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246" w:type="dxa"/>
            <w:shd w:val="clear" w:color="auto" w:fill="auto"/>
          </w:tcPr>
          <w:p w:rsidR="00AA4028" w:rsidRPr="007E2454" w:rsidRDefault="00AA4028" w:rsidP="00AA4028">
            <w:pPr>
              <w:rPr>
                <w:rFonts w:ascii="Times New Roman" w:hAnsi="Times New Roman" w:cs="Times New Roman"/>
              </w:rPr>
            </w:pPr>
            <w:r w:rsidRPr="007E2454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1402" w:type="dxa"/>
            <w:shd w:val="clear" w:color="auto" w:fill="auto"/>
          </w:tcPr>
          <w:p w:rsidR="00AA4028" w:rsidRPr="007E2454" w:rsidRDefault="00AA4028" w:rsidP="00AA4028">
            <w:pPr>
              <w:rPr>
                <w:rFonts w:ascii="Times New Roman" w:hAnsi="Times New Roman" w:cs="Times New Roman"/>
              </w:rPr>
            </w:pPr>
            <w:r w:rsidRPr="007E2454">
              <w:rPr>
                <w:rFonts w:ascii="Times New Roman" w:hAnsi="Times New Roman" w:cs="Times New Roman"/>
              </w:rPr>
              <w:t>Indeks 26/25</w:t>
            </w:r>
          </w:p>
        </w:tc>
      </w:tr>
      <w:tr w:rsidR="005D0B9F" w:rsidRPr="007E2454" w:rsidTr="00AA4028">
        <w:trPr>
          <w:trHeight w:val="363"/>
        </w:trPr>
        <w:tc>
          <w:tcPr>
            <w:tcW w:w="1084" w:type="dxa"/>
            <w:shd w:val="clear" w:color="auto" w:fill="auto"/>
          </w:tcPr>
          <w:p w:rsidR="005D0B9F" w:rsidRPr="007E2454" w:rsidRDefault="005D0B9F" w:rsidP="005D0B9F">
            <w:pPr>
              <w:spacing w:before="120" w:after="0" w:line="240" w:lineRule="auto"/>
              <w:ind w:left="-49"/>
              <w:rPr>
                <w:rFonts w:ascii="Times New Roman" w:eastAsia="Times New Roman" w:hAnsi="Times New Roman" w:cs="Times New Roman"/>
                <w:lang w:eastAsia="hr-HR"/>
              </w:rPr>
            </w:pPr>
            <w:r w:rsidRPr="007E2454">
              <w:rPr>
                <w:rFonts w:ascii="Times New Roman" w:eastAsia="Times New Roman" w:hAnsi="Times New Roman" w:cs="Times New Roman"/>
                <w:lang w:eastAsia="hr-HR"/>
              </w:rPr>
              <w:t>K895007</w:t>
            </w:r>
          </w:p>
        </w:tc>
        <w:tc>
          <w:tcPr>
            <w:tcW w:w="1610" w:type="dxa"/>
            <w:shd w:val="clear" w:color="auto" w:fill="auto"/>
          </w:tcPr>
          <w:p w:rsidR="005D0B9F" w:rsidRPr="007E2454" w:rsidRDefault="00AA4028" w:rsidP="005D0B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2454">
              <w:rPr>
                <w:rFonts w:ascii="Times New Roman" w:eastAsia="Times New Roman" w:hAnsi="Times New Roman" w:cs="Times New Roman"/>
                <w:lang w:eastAsia="hr-HR"/>
              </w:rPr>
              <w:t>17.667.794,44</w:t>
            </w:r>
          </w:p>
        </w:tc>
        <w:tc>
          <w:tcPr>
            <w:tcW w:w="1275" w:type="dxa"/>
            <w:shd w:val="clear" w:color="auto" w:fill="auto"/>
          </w:tcPr>
          <w:p w:rsidR="005D0B9F" w:rsidRPr="007E2454" w:rsidRDefault="00C728AA" w:rsidP="005D0B9F">
            <w:pPr>
              <w:spacing w:before="120" w:after="0" w:line="240" w:lineRule="auto"/>
              <w:ind w:left="-108" w:right="-51" w:firstLine="19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2454">
              <w:rPr>
                <w:rFonts w:ascii="Times New Roman" w:eastAsia="Times New Roman" w:hAnsi="Times New Roman" w:cs="Times New Roman"/>
                <w:lang w:eastAsia="hr-HR"/>
              </w:rPr>
              <w:t>19.188.878</w:t>
            </w:r>
          </w:p>
        </w:tc>
        <w:tc>
          <w:tcPr>
            <w:tcW w:w="1289" w:type="dxa"/>
            <w:shd w:val="clear" w:color="auto" w:fill="auto"/>
          </w:tcPr>
          <w:p w:rsidR="005D0B9F" w:rsidRPr="007E2454" w:rsidRDefault="008959A0" w:rsidP="005D0B9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2454">
              <w:rPr>
                <w:rFonts w:ascii="Times New Roman" w:eastAsia="Times New Roman" w:hAnsi="Times New Roman" w:cs="Times New Roman"/>
                <w:lang w:eastAsia="hr-HR"/>
              </w:rPr>
              <w:t>31.266.902</w:t>
            </w:r>
          </w:p>
        </w:tc>
        <w:tc>
          <w:tcPr>
            <w:tcW w:w="1246" w:type="dxa"/>
            <w:shd w:val="clear" w:color="auto" w:fill="auto"/>
          </w:tcPr>
          <w:p w:rsidR="005D0B9F" w:rsidRPr="007E2454" w:rsidRDefault="005D0B9F" w:rsidP="005D0B9F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6" w:type="dxa"/>
            <w:shd w:val="clear" w:color="auto" w:fill="auto"/>
          </w:tcPr>
          <w:p w:rsidR="005D0B9F" w:rsidRPr="007E2454" w:rsidRDefault="005D0B9F" w:rsidP="005D0B9F">
            <w:pPr>
              <w:tabs>
                <w:tab w:val="left" w:pos="1017"/>
              </w:tabs>
              <w:spacing w:before="120"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02" w:type="dxa"/>
            <w:shd w:val="clear" w:color="auto" w:fill="auto"/>
          </w:tcPr>
          <w:p w:rsidR="005D0B9F" w:rsidRPr="007E2454" w:rsidRDefault="00F953F8" w:rsidP="005D0B9F">
            <w:pPr>
              <w:spacing w:before="120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2454">
              <w:rPr>
                <w:rFonts w:ascii="Times New Roman" w:eastAsia="Times New Roman" w:hAnsi="Times New Roman" w:cs="Times New Roman"/>
                <w:lang w:eastAsia="hr-HR"/>
              </w:rPr>
              <w:t>162,94</w:t>
            </w:r>
          </w:p>
        </w:tc>
      </w:tr>
    </w:tbl>
    <w:p w:rsidR="00A77817" w:rsidRPr="007E2454" w:rsidRDefault="00A77817" w:rsidP="009E024C">
      <w:pPr>
        <w:spacing w:before="120" w:after="0" w:line="240" w:lineRule="auto"/>
        <w:ind w:left="708" w:right="374"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9E024C" w:rsidRPr="00625C61" w:rsidRDefault="009E024C" w:rsidP="00E16FC7">
      <w:pPr>
        <w:spacing w:after="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5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Prikaz i obrazloženje izračuna financijskih sredstava</w:t>
      </w:r>
    </w:p>
    <w:p w:rsidR="008C2660" w:rsidRDefault="009E024C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Odluke Vlade Republike Hrvatske kojom je utvrđen način raspodjele bespovratnih sredstava iz Fonda solidarnosti EU odobrenih za financiranje sanacije štete od po</w:t>
      </w:r>
      <w:r w:rsidR="00625C61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tresa, </w:t>
      </w:r>
      <w:r w:rsidR="008C2660">
        <w:rPr>
          <w:rFonts w:ascii="Times New Roman" w:eastAsia="Times New Roman" w:hAnsi="Times New Roman" w:cs="Times New Roman"/>
          <w:sz w:val="24"/>
          <w:szCs w:val="24"/>
          <w:lang w:eastAsia="hr-HR"/>
        </w:rPr>
        <w:t>sklopljeni su ugovori za</w:t>
      </w:r>
      <w:r w:rsidR="000D2531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obnov</w:t>
      </w:r>
      <w:r w:rsidR="008C266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D2531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5C61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>šest objekata stradalih u potresu iz ožujka 2020. godine</w:t>
      </w:r>
      <w:r w:rsidR="000D2531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2660">
        <w:rPr>
          <w:rFonts w:ascii="Times New Roman" w:eastAsia="Times New Roman" w:hAnsi="Times New Roman" w:cs="Times New Roman"/>
          <w:sz w:val="24"/>
          <w:szCs w:val="24"/>
          <w:lang w:eastAsia="hr-HR"/>
        </w:rPr>
        <w:t>i četiri objekta stradala u potresu iz prosinca 2020. godine</w:t>
      </w:r>
      <w:r w:rsidR="00065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</w:t>
      </w:r>
      <w:r w:rsidR="008C2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5C61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2436A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izvora financiranja 11 Opći pri</w:t>
      </w:r>
      <w:r w:rsidR="00625C61" w:rsidRPr="00BA4290">
        <w:rPr>
          <w:rFonts w:ascii="Times New Roman" w:eastAsia="Times New Roman" w:hAnsi="Times New Roman" w:cs="Times New Roman"/>
          <w:sz w:val="24"/>
          <w:szCs w:val="24"/>
          <w:lang w:eastAsia="hr-HR"/>
        </w:rPr>
        <w:t>hodi i primici i izvora financiranja 815 Namjenski primici – NPOO</w:t>
      </w:r>
      <w:r w:rsidR="008C2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065FEE" w:rsidRDefault="00065FEE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C2660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acija tri objekta iz prvog potresa treba biti završena do kraja 2025. godine (Upravna zgrada - useljena, Interna 2 i Interna 3), zgrada Kirurgije treba biti završena u veljači 2026. godine, Očna/Kožna u svibnju 2026. godine i zgrada Endokrine</w:t>
      </w:r>
      <w:r w:rsidR="003A3D4E">
        <w:rPr>
          <w:rFonts w:ascii="Times New Roman" w:eastAsia="Times New Roman" w:hAnsi="Times New Roman" w:cs="Times New Roman"/>
          <w:sz w:val="24"/>
          <w:szCs w:val="24"/>
          <w:lang w:eastAsia="hr-HR"/>
        </w:rPr>
        <w:t>/Kemije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30. lipnja 2026. godine.</w:t>
      </w:r>
    </w:p>
    <w:p w:rsidR="008C2660" w:rsidRDefault="00065FEE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Završetak sanacije dvije zgrade iz drugog potresa (Tumori i Anestezija/Multimedija) neće biti moguć </w:t>
      </w:r>
      <w:r w:rsid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do 30. lipnja 2026. godine do kada se mogu koristiti sredstva EU, stoga se odustalo od navedenih projekata s time da je za zgradu Tumora izmijenjen Ugovor, te su priznati dosadašnji troškovi prihvatljivi po ZNS-u. Za navedene objekte pokušat ćemo iznaći nove izvore financiranja kako bi obnova ipak bila provedena.</w:t>
      </w:r>
    </w:p>
    <w:p w:rsidR="00B85E00" w:rsidRDefault="00B85E00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5C61" w:rsidRPr="00B85E00" w:rsidRDefault="00625C61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Svrha svih projekta je nadoknada sredstava za provedene hitne mjere zaštite, utvrđivanje stanja i izrade snimki i zatečenog stanja te izrade dokumentacije za provedbu i sama provedba cjelovite obnove koja podrazumijeva dodatno poboljšanje konstrukcije uz prilagodbu suvremenim standardima zgrada koje su oštećene u potresu 22. ožujka 2020. godine, osim zgrade 7 i 4 gdje je zbog značajnih oštećenja bilo potrebno ukloniti građevine te izraditi nove prilagođene suvremenim st</w:t>
      </w:r>
      <w:r w:rsidR="008238B0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andardima i propisima u gradnji,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oštećenih zgrada u potresu s epicentrom u Sisačko-moslavačkoj županiji 28. prosinca 2020. godine.  </w:t>
      </w:r>
    </w:p>
    <w:p w:rsidR="007C6E64" w:rsidRPr="00B85E00" w:rsidRDefault="00EE0727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C21DB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Kliničkom bolničk</w:t>
      </w:r>
      <w:r w:rsidR="00C01DC1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om centru je utvrđen iznos od 19.337.644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na izvoru financiranja 11 kao dodatna sredstva za sanaciju štete od potresa, od čega se </w:t>
      </w:r>
      <w:r w:rsidR="00C01DC1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1DC1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692.104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odnosi na građevinske radove. </w:t>
      </w:r>
    </w:p>
    <w:p w:rsidR="00593C27" w:rsidRPr="00B85E00" w:rsidRDefault="00A75A7B" w:rsidP="001545DE">
      <w:pPr>
        <w:spacing w:before="120"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593C2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93C2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financiranja 815 Namjenski primici – NPOO u 202</w:t>
      </w:r>
      <w:r w:rsidR="00C21DB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93C2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utvrđen je iznos od </w:t>
      </w:r>
      <w:r w:rsidR="00C21DB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593C2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.9</w:t>
      </w:r>
      <w:r w:rsidR="00C21DB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29.258 eura, </w:t>
      </w:r>
      <w:r w:rsidR="00593C2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najvećim dijelom </w:t>
      </w:r>
      <w:r w:rsidR="00C21DB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593C2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</w:t>
      </w:r>
      <w:r w:rsidR="00C21DB7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inske radove. </w:t>
      </w:r>
    </w:p>
    <w:p w:rsidR="00593C27" w:rsidRPr="00B85E00" w:rsidRDefault="00593C27" w:rsidP="001545DE">
      <w:pPr>
        <w:spacing w:before="120"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Navodimo očekivana izdvajanja po </w:t>
      </w:r>
      <w:r w:rsidR="006B04D5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objektima zagrebačkog potresa: </w:t>
      </w:r>
    </w:p>
    <w:p w:rsidR="00593C27" w:rsidRPr="00B85E00" w:rsidRDefault="00593C27" w:rsidP="001545DE">
      <w:pPr>
        <w:pStyle w:val="Odlomakpopisa"/>
        <w:numPr>
          <w:ilvl w:val="0"/>
          <w:numId w:val="5"/>
        </w:numPr>
        <w:spacing w:before="120" w:after="0" w:line="240" w:lineRule="auto"/>
        <w:ind w:left="284" w:right="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obnove od potresa Upravne zgrade –</w:t>
      </w:r>
      <w:r w:rsidR="00363D63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 je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3D63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84.633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na IF11 </w:t>
      </w:r>
      <w:r w:rsidR="00363D63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projekt </w:t>
      </w:r>
      <w:r w:rsidR="00032F6E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363D63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završio 2025. godine, navedeni iznos se odnosi na završna plaćanja po projektu</w:t>
      </w:r>
    </w:p>
    <w:p w:rsidR="0065200D" w:rsidRPr="00B85E00" w:rsidRDefault="00593C27" w:rsidP="001545DE">
      <w:pPr>
        <w:pStyle w:val="Odlomakpopisa"/>
        <w:numPr>
          <w:ilvl w:val="0"/>
          <w:numId w:val="5"/>
        </w:numPr>
        <w:spacing w:before="80" w:after="0" w:line="240" w:lineRule="auto"/>
        <w:ind w:left="284" w:right="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obnove od potresa Zgrade Interna 2 –</w:t>
      </w:r>
      <w:r w:rsidR="00A75A7B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5E00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završava</w:t>
      </w:r>
      <w:r w:rsidR="00032F6E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krajem 2025. godine, 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planirano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3D63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1.348.632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 čega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1.010.328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na IF11 i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338.304</w:t>
      </w:r>
      <w:r w:rsidR="006B04D5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B04D5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IF815</w:t>
      </w:r>
    </w:p>
    <w:p w:rsidR="006B04D5" w:rsidRPr="00B85E00" w:rsidRDefault="006B04D5" w:rsidP="001545DE">
      <w:pPr>
        <w:pStyle w:val="Odlomakpopisa"/>
        <w:numPr>
          <w:ilvl w:val="0"/>
          <w:numId w:val="5"/>
        </w:numPr>
        <w:spacing w:before="80" w:after="0" w:line="240" w:lineRule="auto"/>
        <w:ind w:left="284" w:right="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obno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 od potresa Zgrade Interna 3 – </w:t>
      </w:r>
      <w:r w:rsidR="00B85E00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završava krajem 2025. godine,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 je ukupno</w:t>
      </w:r>
      <w:r w:rsidR="00B26356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1.167.550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 to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804.272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IF11 i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363.278 eura na IF815</w:t>
      </w:r>
    </w:p>
    <w:p w:rsidR="006B04D5" w:rsidRPr="00B85E00" w:rsidRDefault="00C01225" w:rsidP="001545DE">
      <w:pPr>
        <w:pStyle w:val="Odlomakpopisa"/>
        <w:numPr>
          <w:ilvl w:val="0"/>
          <w:numId w:val="5"/>
        </w:numPr>
        <w:spacing w:before="80" w:after="0" w:line="240" w:lineRule="auto"/>
        <w:ind w:left="284" w:right="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obnove od potresa Zgrade 7 – Klinički zavod za kemiju i endokrinologiju – ukupno je planirano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9.897.418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 to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7.265.726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na IF11 i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2.631.692 eura na IF815</w:t>
      </w:r>
    </w:p>
    <w:p w:rsidR="0065200D" w:rsidRPr="00B85E00" w:rsidRDefault="005138F8" w:rsidP="001545DE">
      <w:pPr>
        <w:pStyle w:val="Odlomakpopisa"/>
        <w:numPr>
          <w:ilvl w:val="0"/>
          <w:numId w:val="5"/>
        </w:numPr>
        <w:spacing w:before="80" w:after="0" w:line="240" w:lineRule="auto"/>
        <w:ind w:left="284" w:right="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</w:t>
      </w:r>
      <w:r w:rsidR="003440C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obnove od potres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a Zgrade 4 – Klinika za očne bolesti i Klinika za kož</w:t>
      </w:r>
      <w:r w:rsidR="003440C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ne i spolne bolesti –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40C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planirano je ukupno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8.224.959</w:t>
      </w:r>
      <w:r w:rsidR="003440C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 čega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3.799.371 eura</w:t>
      </w:r>
      <w:r w:rsidR="003440C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IF11 i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4.425.588</w:t>
      </w:r>
      <w:r w:rsidR="003440C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na IF815</w:t>
      </w:r>
    </w:p>
    <w:p w:rsidR="003440CD" w:rsidRPr="00B85E00" w:rsidRDefault="003440CD" w:rsidP="001545DE">
      <w:pPr>
        <w:pStyle w:val="Odlomakpopisa"/>
        <w:numPr>
          <w:ilvl w:val="0"/>
          <w:numId w:val="5"/>
        </w:numPr>
        <w:spacing w:before="80" w:after="0" w:line="240" w:lineRule="auto"/>
        <w:ind w:left="284" w:right="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obnove od potresa Zgrade 9 – Klinika za kirurgiju –</w:t>
      </w:r>
      <w:r w:rsidR="00A75A7B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planirano je ukupno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7.801.825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od čega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5.035.199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na IF11 i 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2.766.626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na IF815</w:t>
      </w:r>
      <w:r w:rsidR="00A75A7B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26356" w:rsidRDefault="00CF6845" w:rsidP="008970C4">
      <w:pPr>
        <w:spacing w:before="120"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3440C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a zgrade stradale u petrinjskom potresu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5200D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Kliniku za traumatologiju te </w:t>
      </w:r>
      <w:r w:rsidR="00EA1FDE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Zgrad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A1FDE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 – Pedijatrija, ORL</w:t>
      </w:r>
      <w:r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urologija i ginekologija </w:t>
      </w:r>
      <w:r w:rsidR="00B26356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izvoru financiranja 11 planirano je za svaku zgradu 669.058 eura te na izvoru </w:t>
      </w:r>
      <w:r w:rsidR="004B55B2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financiranja 815</w:t>
      </w:r>
      <w:r w:rsidR="00737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 od</w:t>
      </w:r>
      <w:r w:rsidR="004B55B2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701.885 eura, š</w:t>
      </w:r>
      <w:r w:rsidR="00B26356" w:rsidRPr="00B85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ukupno za obje zgrade iznosi </w:t>
      </w:r>
      <w:r w:rsidR="008970C4">
        <w:rPr>
          <w:rFonts w:ascii="Times New Roman" w:eastAsia="Times New Roman" w:hAnsi="Times New Roman" w:cs="Times New Roman"/>
          <w:sz w:val="24"/>
          <w:szCs w:val="24"/>
          <w:lang w:eastAsia="hr-HR"/>
        </w:rPr>
        <w:t>2.741.885 eura u 2026. godini kad i završavaju projekti.</w:t>
      </w:r>
    </w:p>
    <w:p w:rsidR="009E024C" w:rsidRPr="00C8117B" w:rsidRDefault="009E024C" w:rsidP="001545DE">
      <w:pPr>
        <w:spacing w:before="240"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11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rezultata</w:t>
      </w:r>
    </w:p>
    <w:p w:rsidR="009E024C" w:rsidRPr="00C8117B" w:rsidRDefault="009E024C" w:rsidP="009E024C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1134"/>
        <w:gridCol w:w="1134"/>
        <w:gridCol w:w="1134"/>
        <w:gridCol w:w="1134"/>
        <w:gridCol w:w="1134"/>
      </w:tblGrid>
      <w:tr w:rsidR="009E024C" w:rsidRPr="00C8117B" w:rsidTr="00E36A86">
        <w:trPr>
          <w:trHeight w:val="573"/>
        </w:trPr>
        <w:tc>
          <w:tcPr>
            <w:tcW w:w="1560" w:type="dxa"/>
            <w:shd w:val="clear" w:color="auto" w:fill="auto"/>
          </w:tcPr>
          <w:p w:rsidR="009E024C" w:rsidRPr="00C8117B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Pokazatelj rezultata</w:t>
            </w:r>
          </w:p>
        </w:tc>
        <w:tc>
          <w:tcPr>
            <w:tcW w:w="2268" w:type="dxa"/>
            <w:shd w:val="clear" w:color="auto" w:fill="auto"/>
          </w:tcPr>
          <w:p w:rsidR="009E024C" w:rsidRPr="00C8117B" w:rsidRDefault="009E024C" w:rsidP="00E36A86">
            <w:pPr>
              <w:spacing w:after="0" w:line="240" w:lineRule="auto"/>
              <w:ind w:left="175" w:right="-91" w:hanging="17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470E9F" w:rsidP="009E024C">
            <w:pPr>
              <w:spacing w:after="0" w:line="240" w:lineRule="auto"/>
              <w:ind w:left="-108"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9E024C" w:rsidRPr="00C8117B">
              <w:rPr>
                <w:rFonts w:ascii="Times New Roman" w:eastAsia="Times New Roman" w:hAnsi="Times New Roman" w:cs="Times New Roman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9E024C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Polazna vrijednost</w:t>
            </w:r>
          </w:p>
          <w:p w:rsidR="009E024C" w:rsidRPr="00C8117B" w:rsidRDefault="009E024C" w:rsidP="009E024C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Izvor podataka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8B08D4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Ciljana vrijednost (202</w:t>
            </w:r>
            <w:r w:rsidR="00690F6D" w:rsidRPr="00C8117B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690F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Ciljana vrijednost (202</w:t>
            </w:r>
            <w:r w:rsidR="00690F6D" w:rsidRPr="00C8117B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690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Ciljana vrijednost</w:t>
            </w:r>
            <w:r w:rsidR="00470E9F" w:rsidRPr="00C8117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B08D4" w:rsidRPr="00C8117B">
              <w:rPr>
                <w:rFonts w:ascii="Times New Roman" w:eastAsia="Times New Roman" w:hAnsi="Times New Roman" w:cs="Times New Roman"/>
                <w:lang w:eastAsia="hr-HR"/>
              </w:rPr>
              <w:t>(202</w:t>
            </w:r>
            <w:r w:rsidR="00690F6D" w:rsidRPr="00C8117B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</w:tr>
      <w:tr w:rsidR="009E024C" w:rsidRPr="009E024C" w:rsidTr="00E36A86">
        <w:trPr>
          <w:cantSplit/>
          <w:trHeight w:val="787"/>
        </w:trPr>
        <w:tc>
          <w:tcPr>
            <w:tcW w:w="1560" w:type="dxa"/>
            <w:shd w:val="clear" w:color="auto" w:fill="auto"/>
          </w:tcPr>
          <w:p w:rsidR="009E024C" w:rsidRPr="00C8117B" w:rsidRDefault="009E024C" w:rsidP="00E36A8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C8117B">
              <w:rPr>
                <w:rFonts w:ascii="Times New Roman" w:eastAsia="Times New Roman" w:hAnsi="Times New Roman" w:cs="Times New Roman"/>
              </w:rPr>
              <w:t>Postotak realizacije obnove zgrada oštećenih potresom u ožujku 2020. g</w:t>
            </w:r>
            <w:r w:rsidR="00E36A86" w:rsidRPr="00C8117B">
              <w:rPr>
                <w:rFonts w:ascii="Times New Roman" w:eastAsia="Times New Roman" w:hAnsi="Times New Roman" w:cs="Times New Roman"/>
              </w:rPr>
              <w:t>odine i prosincu 2020. godine</w:t>
            </w:r>
          </w:p>
        </w:tc>
        <w:tc>
          <w:tcPr>
            <w:tcW w:w="2268" w:type="dxa"/>
            <w:shd w:val="clear" w:color="auto" w:fill="auto"/>
          </w:tcPr>
          <w:p w:rsidR="009E024C" w:rsidRPr="00C8117B" w:rsidRDefault="009E024C" w:rsidP="00E36A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Udio plaćenih računa za aktivnosti vezane uz obnovu zgrada od potresa u odnosu na ukupnu vrijednost ugovorenih projekata obnove zgrada od potresa iz</w:t>
            </w:r>
            <w:r w:rsidR="00E36A86" w:rsidRPr="00C8117B">
              <w:rPr>
                <w:rFonts w:ascii="Times New Roman" w:eastAsia="Times New Roman" w:hAnsi="Times New Roman" w:cs="Times New Roman"/>
                <w:lang w:eastAsia="hr-HR"/>
              </w:rPr>
              <w:t xml:space="preserve"> ožujka i prosinca  2020. godine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9E02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9E024C" w:rsidP="00E36A86">
            <w:pPr>
              <w:spacing w:after="0" w:line="24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36A86" w:rsidRPr="00C8117B" w:rsidRDefault="009E024C" w:rsidP="00E36A86">
            <w:pPr>
              <w:spacing w:after="0" w:line="24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 xml:space="preserve">% </w:t>
            </w:r>
          </w:p>
          <w:p w:rsidR="009E024C" w:rsidRPr="00C8117B" w:rsidRDefault="009E024C" w:rsidP="00E36A86">
            <w:pPr>
              <w:spacing w:after="0" w:line="24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izvršenja aktivnosti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 xml:space="preserve">          </w:t>
            </w:r>
          </w:p>
          <w:p w:rsidR="009E024C" w:rsidRPr="00C8117B" w:rsidRDefault="009E024C" w:rsidP="009E024C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9E024C" w:rsidP="009E024C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EE0DC9" w:rsidP="009E024C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30,87</w:t>
            </w:r>
            <w:r w:rsidR="009E024C" w:rsidRPr="00C8117B">
              <w:rPr>
                <w:rFonts w:ascii="Times New Roman" w:eastAsia="Times New Roman" w:hAnsi="Times New Roman" w:cs="Times New Roman"/>
                <w:lang w:eastAsia="hr-HR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9E024C">
            <w:pPr>
              <w:spacing w:after="0" w:line="240" w:lineRule="auto"/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9E024C" w:rsidP="009E024C">
            <w:pPr>
              <w:spacing w:after="0" w:line="240" w:lineRule="auto"/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9E024C" w:rsidP="009E024C">
            <w:pPr>
              <w:spacing w:after="0" w:line="240" w:lineRule="auto"/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9E024C" w:rsidP="009E024C">
            <w:pPr>
              <w:spacing w:after="0" w:line="240" w:lineRule="auto"/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Računovodstvo</w:t>
            </w:r>
          </w:p>
        </w:tc>
        <w:tc>
          <w:tcPr>
            <w:tcW w:w="1134" w:type="dxa"/>
            <w:shd w:val="clear" w:color="auto" w:fill="auto"/>
          </w:tcPr>
          <w:p w:rsidR="009E024C" w:rsidRPr="00C8117B" w:rsidRDefault="009E024C" w:rsidP="009E024C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9E024C" w:rsidP="009E024C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C8117B" w:rsidRDefault="009E024C" w:rsidP="009E024C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EA17FB" w:rsidRDefault="005017C4" w:rsidP="009E024C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100 %</w:t>
            </w:r>
          </w:p>
        </w:tc>
        <w:tc>
          <w:tcPr>
            <w:tcW w:w="1134" w:type="dxa"/>
            <w:shd w:val="clear" w:color="auto" w:fill="auto"/>
          </w:tcPr>
          <w:p w:rsidR="009E024C" w:rsidRPr="00EA17FB" w:rsidRDefault="009E024C" w:rsidP="009E024C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EA17FB" w:rsidRDefault="009E024C" w:rsidP="00E36A8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EA17FB" w:rsidRDefault="009E024C" w:rsidP="009E024C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E36A86" w:rsidRDefault="009E024C" w:rsidP="009E024C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9E024C" w:rsidRPr="00E36A86" w:rsidRDefault="009E024C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026BB" w:rsidRPr="00E36A86" w:rsidRDefault="005026BB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026BB" w:rsidRPr="00E36A86" w:rsidRDefault="005026BB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024C" w:rsidRPr="00E36A86" w:rsidRDefault="009E024C" w:rsidP="009E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21DB7" w:rsidRDefault="00C21DB7" w:rsidP="00C21DB7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D2278" w:rsidRDefault="00DD2278" w:rsidP="00C21DB7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D2278" w:rsidRDefault="00DD2278" w:rsidP="00C21DB7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21DB7" w:rsidRPr="00F01472" w:rsidRDefault="00C21DB7" w:rsidP="00C21DB7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</w:t>
      </w: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 Aktivnost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T89500</w:t>
      </w:r>
      <w:r w:rsidR="00B65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JAČANJE OTPORNOSTI ZDRAVSTVENOG SUSTAVA </w:t>
      </w:r>
      <w:r w:rsidR="00DD22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DD22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NPOO C5.1</w:t>
      </w: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C21DB7" w:rsidRPr="00F01472" w:rsidRDefault="00C21DB7" w:rsidP="00C21DB7">
      <w:pPr>
        <w:spacing w:before="240" w:after="0" w:line="240" w:lineRule="auto"/>
        <w:ind w:right="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BD66AF" w:rsidRDefault="00BD66AF" w:rsidP="00BD66A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F625E" w:rsidRPr="00400619" w:rsidRDefault="00400619" w:rsidP="00BD66A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6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plan oporavka i otpornosti 2021. – 2026. </w:t>
      </w:r>
    </w:p>
    <w:p w:rsidR="00400619" w:rsidRPr="00EE347A" w:rsidRDefault="00400619" w:rsidP="00400619">
      <w:pPr>
        <w:tabs>
          <w:tab w:val="left" w:pos="851"/>
        </w:tabs>
        <w:spacing w:before="360"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3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Planirana i izvršena financijska sredstva na razini aktivnosti</w:t>
      </w:r>
    </w:p>
    <w:p w:rsidR="00400619" w:rsidRPr="00EE347A" w:rsidRDefault="00400619" w:rsidP="00400619">
      <w:pPr>
        <w:tabs>
          <w:tab w:val="left" w:pos="284"/>
        </w:tabs>
        <w:spacing w:after="0" w:line="240" w:lineRule="auto"/>
        <w:ind w:left="124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560"/>
        <w:gridCol w:w="1593"/>
        <w:gridCol w:w="1242"/>
        <w:gridCol w:w="1275"/>
        <w:gridCol w:w="1276"/>
        <w:gridCol w:w="1134"/>
      </w:tblGrid>
      <w:tr w:rsidR="00400619" w:rsidRPr="009E024C" w:rsidTr="005017C4">
        <w:tc>
          <w:tcPr>
            <w:tcW w:w="1100" w:type="dxa"/>
            <w:shd w:val="clear" w:color="auto" w:fill="auto"/>
          </w:tcPr>
          <w:p w:rsidR="00400619" w:rsidRPr="00EE347A" w:rsidRDefault="00400619" w:rsidP="005017C4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47A">
              <w:rPr>
                <w:rFonts w:ascii="Times New Roman" w:eastAsia="Times New Roman" w:hAnsi="Times New Roman" w:cs="Times New Roman"/>
                <w:lang w:eastAsia="hr-HR"/>
              </w:rPr>
              <w:t>Naziv aktivnosti</w:t>
            </w:r>
          </w:p>
        </w:tc>
        <w:tc>
          <w:tcPr>
            <w:tcW w:w="1560" w:type="dxa"/>
            <w:shd w:val="clear" w:color="auto" w:fill="auto"/>
          </w:tcPr>
          <w:p w:rsidR="00400619" w:rsidRPr="00DD2278" w:rsidRDefault="00400619" w:rsidP="005017C4">
            <w:pPr>
              <w:rPr>
                <w:rFonts w:ascii="Times New Roman" w:hAnsi="Times New Roman" w:cs="Times New Roman"/>
              </w:rPr>
            </w:pPr>
            <w:r w:rsidRPr="00DD2278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593" w:type="dxa"/>
            <w:shd w:val="clear" w:color="auto" w:fill="auto"/>
          </w:tcPr>
          <w:p w:rsidR="00400619" w:rsidRPr="00DD2278" w:rsidRDefault="00400619" w:rsidP="005017C4">
            <w:pPr>
              <w:rPr>
                <w:rFonts w:ascii="Times New Roman" w:hAnsi="Times New Roman" w:cs="Times New Roman"/>
              </w:rPr>
            </w:pPr>
            <w:r w:rsidRPr="00DD2278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242" w:type="dxa"/>
            <w:shd w:val="clear" w:color="auto" w:fill="auto"/>
          </w:tcPr>
          <w:p w:rsidR="00400619" w:rsidRPr="00DD2278" w:rsidRDefault="00400619" w:rsidP="005017C4">
            <w:pPr>
              <w:rPr>
                <w:rFonts w:ascii="Times New Roman" w:hAnsi="Times New Roman" w:cs="Times New Roman"/>
              </w:rPr>
            </w:pPr>
            <w:r w:rsidRPr="00DD2278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275" w:type="dxa"/>
            <w:shd w:val="clear" w:color="auto" w:fill="auto"/>
          </w:tcPr>
          <w:p w:rsidR="00400619" w:rsidRPr="00DD2278" w:rsidRDefault="00400619" w:rsidP="005017C4">
            <w:pPr>
              <w:rPr>
                <w:rFonts w:ascii="Times New Roman" w:hAnsi="Times New Roman" w:cs="Times New Roman"/>
              </w:rPr>
            </w:pPr>
            <w:r w:rsidRPr="00DD2278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276" w:type="dxa"/>
            <w:shd w:val="clear" w:color="auto" w:fill="auto"/>
          </w:tcPr>
          <w:p w:rsidR="00400619" w:rsidRPr="00DD2278" w:rsidRDefault="00400619" w:rsidP="005017C4">
            <w:pPr>
              <w:rPr>
                <w:rFonts w:ascii="Times New Roman" w:hAnsi="Times New Roman" w:cs="Times New Roman"/>
              </w:rPr>
            </w:pPr>
            <w:r w:rsidRPr="00DD2278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1134" w:type="dxa"/>
            <w:shd w:val="clear" w:color="auto" w:fill="auto"/>
          </w:tcPr>
          <w:p w:rsidR="00400619" w:rsidRPr="00DD2278" w:rsidRDefault="00400619" w:rsidP="005017C4">
            <w:pPr>
              <w:rPr>
                <w:rFonts w:ascii="Times New Roman" w:hAnsi="Times New Roman" w:cs="Times New Roman"/>
              </w:rPr>
            </w:pPr>
            <w:r w:rsidRPr="00DD2278">
              <w:rPr>
                <w:rFonts w:ascii="Times New Roman" w:hAnsi="Times New Roman" w:cs="Times New Roman"/>
              </w:rPr>
              <w:t>Indeks 26/25</w:t>
            </w:r>
          </w:p>
        </w:tc>
      </w:tr>
      <w:tr w:rsidR="00400619" w:rsidRPr="009E024C" w:rsidTr="005017C4">
        <w:trPr>
          <w:trHeight w:val="87"/>
        </w:trPr>
        <w:tc>
          <w:tcPr>
            <w:tcW w:w="1100" w:type="dxa"/>
            <w:shd w:val="clear" w:color="auto" w:fill="auto"/>
          </w:tcPr>
          <w:p w:rsidR="00400619" w:rsidRPr="009E024C" w:rsidRDefault="007E2454" w:rsidP="005017C4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T895009</w:t>
            </w:r>
          </w:p>
        </w:tc>
        <w:tc>
          <w:tcPr>
            <w:tcW w:w="1560" w:type="dxa"/>
            <w:shd w:val="clear" w:color="auto" w:fill="auto"/>
          </w:tcPr>
          <w:p w:rsidR="00400619" w:rsidRPr="009E024C" w:rsidRDefault="00400619" w:rsidP="005017C4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93" w:type="dxa"/>
            <w:shd w:val="clear" w:color="auto" w:fill="auto"/>
          </w:tcPr>
          <w:p w:rsidR="00400619" w:rsidRPr="009E024C" w:rsidRDefault="00400619" w:rsidP="005017C4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400619" w:rsidRPr="009E024C" w:rsidRDefault="00400619" w:rsidP="005017C4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8.770.275</w:t>
            </w:r>
          </w:p>
        </w:tc>
        <w:tc>
          <w:tcPr>
            <w:tcW w:w="1275" w:type="dxa"/>
            <w:shd w:val="clear" w:color="auto" w:fill="auto"/>
          </w:tcPr>
          <w:p w:rsidR="00400619" w:rsidRPr="009E024C" w:rsidRDefault="00400619" w:rsidP="005017C4">
            <w:pPr>
              <w:spacing w:before="120"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00619" w:rsidRPr="009E024C" w:rsidRDefault="00400619" w:rsidP="005017C4">
            <w:pPr>
              <w:spacing w:before="120"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00619" w:rsidRPr="009E024C" w:rsidRDefault="00400619" w:rsidP="00400619">
            <w:pPr>
              <w:spacing w:before="120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</w:tbl>
    <w:p w:rsidR="00400619" w:rsidRDefault="00400619" w:rsidP="00BD66A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F625E" w:rsidRDefault="00400619" w:rsidP="00BD66A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6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Prikaz i obrazloženje izračuna financijskih sredstava</w:t>
      </w:r>
    </w:p>
    <w:p w:rsidR="00400619" w:rsidRDefault="00400619" w:rsidP="00BD66A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9771E" w:rsidRPr="00585DEC" w:rsidRDefault="00400619" w:rsidP="001545DE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6501B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od komponenti Nacionalnog plana oporavka i otpornosti 2021. – 2026. je i komponenta C5.1 Jačanje otpornosti zdravstvenog sustava</w:t>
      </w:r>
      <w:r w:rsidR="0075445C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koje je i </w:t>
      </w:r>
      <w:r w:rsidR="00B6501B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mjera</w:t>
      </w:r>
      <w:r w:rsidR="00CC088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1E36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C5.1 R2-I1 </w:t>
      </w:r>
      <w:r w:rsidR="00CC0882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za prevenciju, dijagnostiku i liječenje osoba oboljelih od raka</w:t>
      </w:r>
      <w:r w:rsidR="000F3A43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četiri klinička bolnička centra s najviše bolesnika</w:t>
      </w:r>
      <w:r w:rsidR="0059771E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F16E7" w:rsidRDefault="0059771E" w:rsidP="002B61C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</w:t>
      </w:r>
      <w:r w:rsidR="00B6501B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uključuje građevinske radove za izgradnju bunkera za smještaj linearnih akceleratora </w:t>
      </w:r>
      <w:r w:rsidR="00F44B70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CT simulatora </w:t>
      </w:r>
      <w:r w:rsidR="00B6501B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(nositelj provedbe je Ministarstvo zdravstva)</w:t>
      </w:r>
      <w:r w:rsidR="00B6501B" w:rsidRPr="007544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445C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su </w:t>
      </w:r>
      <w:r w:rsidR="00B26356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5445C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</w:t>
      </w:r>
      <w:r w:rsidR="00B26356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75445C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 w:rsidR="00B26356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5445C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planiran</w:t>
      </w:r>
      <w:r w:rsidR="0009521D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5445C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aktivnosti K895002 – Izravna kapitalna ulaganja</w:t>
      </w:r>
      <w:r w:rsidR="00FD4D3E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izvorima financiranja 11 –</w:t>
      </w:r>
      <w:r w:rsidR="000F3A43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FD4D3E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 prihodi i primici te </w:t>
      </w:r>
      <w:r w:rsidR="008970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izvoru financiranja </w:t>
      </w:r>
      <w:r w:rsidR="00FD4D3E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>581 – Me</w:t>
      </w:r>
      <w:r w:rsidR="00B26356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>hanizam za oporavak i otpornost</w:t>
      </w:r>
      <w:r w:rsidR="008970C4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2026. godini izdvojeni su na posebnu aktivnost</w:t>
      </w:r>
      <w:r w:rsidR="00F44B70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T895009 – Jačanje otpornosti zdravstvenog sustava NPOO C5.1</w:t>
      </w:r>
      <w:r w:rsidR="000F3A43"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9771E" w:rsidRPr="002B61C6" w:rsidRDefault="000F3A43" w:rsidP="002B61C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>Cilj ove mjere je osigurati optimalnu terapiju svim onkološkim bolesnicima u Hrvatskoj bez čekanja na liječenje upotrebom modernih radioterapijskih tehnika u cilju optimalne iskorištenosti opreme i kontrole kvalitete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radioterapijskog procesa te na taj način poboljšati zdravstvene ishode u liječenju onkoloških pacijenata.</w:t>
      </w:r>
    </w:p>
    <w:p w:rsidR="000F3A43" w:rsidRPr="007F16E7" w:rsidRDefault="00B26356" w:rsidP="002B61C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>Radovi na izgradnji bunkera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linearn</w:t>
      </w:r>
      <w:r w:rsidR="0010329C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akceleratore i CT simulator</w:t>
      </w:r>
      <w:r w:rsidR="007F16E7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završavaju t</w:t>
      </w:r>
      <w:r w:rsidR="00DD2278">
        <w:rPr>
          <w:rFonts w:ascii="Times New Roman" w:eastAsia="Times New Roman" w:hAnsi="Times New Roman" w:cs="Times New Roman"/>
          <w:sz w:val="24"/>
          <w:szCs w:val="24"/>
          <w:lang w:eastAsia="hr-HR"/>
        </w:rPr>
        <w:t>ije</w:t>
      </w:r>
      <w:r w:rsidR="007F16E7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>kom 2026. godine te su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</w:t>
      </w:r>
      <w:r w:rsidR="007F16E7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nirani 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izvoru financiranja 11 – Opći prihodi i primici </w:t>
      </w:r>
      <w:r w:rsidR="007F16E7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>2.263.210 eura te na izvoru financiranja 58100 – Mehanizam za oporavak i otpornost</w:t>
      </w:r>
      <w:r w:rsidR="00DD2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bespovratna sredstva – raspoloživ predujam ili unaprijed naplaćen prihod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E7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59771E" w:rsidRPr="002B61C6">
        <w:rPr>
          <w:rFonts w:ascii="Times New Roman" w:eastAsia="Times New Roman" w:hAnsi="Times New Roman" w:cs="Times New Roman"/>
          <w:sz w:val="24"/>
          <w:szCs w:val="24"/>
          <w:lang w:eastAsia="hr-HR"/>
        </w:rPr>
        <w:t>6.444.065 eura. Na razini aktivnosti planirana sredstva iznose 8.707.275 eura.</w:t>
      </w:r>
      <w:r w:rsidR="00597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96FC3" w:rsidRPr="005078F0" w:rsidRDefault="00196FC3" w:rsidP="00196FC3">
      <w:pPr>
        <w:spacing w:before="240" w:after="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79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rezultata</w:t>
      </w:r>
    </w:p>
    <w:p w:rsidR="00196FC3" w:rsidRPr="001457F0" w:rsidRDefault="00196FC3" w:rsidP="00196FC3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tbl>
      <w:tblPr>
        <w:tblW w:w="106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55"/>
        <w:gridCol w:w="852"/>
        <w:gridCol w:w="994"/>
        <w:gridCol w:w="995"/>
        <w:gridCol w:w="1137"/>
        <w:gridCol w:w="994"/>
        <w:gridCol w:w="1137"/>
      </w:tblGrid>
      <w:tr w:rsidR="007F16E7" w:rsidRPr="00EA17FB" w:rsidTr="007F16E7">
        <w:trPr>
          <w:trHeight w:val="568"/>
        </w:trPr>
        <w:tc>
          <w:tcPr>
            <w:tcW w:w="2694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Pokazatelj rezultata</w:t>
            </w:r>
          </w:p>
        </w:tc>
        <w:tc>
          <w:tcPr>
            <w:tcW w:w="1855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ind w:left="175" w:right="-91" w:hanging="17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Definicija</w:t>
            </w:r>
          </w:p>
        </w:tc>
        <w:tc>
          <w:tcPr>
            <w:tcW w:w="852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ind w:left="-108"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 xml:space="preserve"> Jedinica</w:t>
            </w:r>
          </w:p>
        </w:tc>
        <w:tc>
          <w:tcPr>
            <w:tcW w:w="994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Polazna vrijednost</w:t>
            </w:r>
          </w:p>
          <w:p w:rsidR="00196FC3" w:rsidRPr="00EA17FB" w:rsidRDefault="00196FC3" w:rsidP="005017C4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5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Izvor podataka</w:t>
            </w:r>
          </w:p>
        </w:tc>
        <w:tc>
          <w:tcPr>
            <w:tcW w:w="1137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Ciljana vrijednost (202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994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Ciljana vrijednost (202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1137" w:type="dxa"/>
            <w:shd w:val="clear" w:color="auto" w:fill="auto"/>
          </w:tcPr>
          <w:p w:rsidR="00196FC3" w:rsidRPr="00EA17FB" w:rsidRDefault="00196FC3" w:rsidP="0050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Ciljana vrijednost (202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EA17FB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</w:tr>
      <w:tr w:rsidR="007F16E7" w:rsidRPr="009E024C" w:rsidTr="007F16E7">
        <w:trPr>
          <w:cantSplit/>
          <w:trHeight w:val="781"/>
        </w:trPr>
        <w:tc>
          <w:tcPr>
            <w:tcW w:w="2694" w:type="dxa"/>
            <w:shd w:val="clear" w:color="auto" w:fill="auto"/>
          </w:tcPr>
          <w:p w:rsidR="00196FC3" w:rsidRPr="00EA17FB" w:rsidRDefault="005017C4" w:rsidP="005017C4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Postotak realizacije izvedenih radova</w:t>
            </w:r>
            <w:r w:rsidR="00DE796F">
              <w:rPr>
                <w:rFonts w:ascii="Times New Roman" w:eastAsia="Times New Roman" w:hAnsi="Times New Roman" w:cs="Times New Roman"/>
              </w:rPr>
              <w:t xml:space="preserve"> izgradnje bunkera</w:t>
            </w:r>
            <w:r>
              <w:rPr>
                <w:rFonts w:ascii="Times New Roman" w:eastAsia="Times New Roman" w:hAnsi="Times New Roman" w:cs="Times New Roman"/>
              </w:rPr>
              <w:t xml:space="preserve"> z</w:t>
            </w:r>
            <w:r w:rsidR="00DE796F">
              <w:rPr>
                <w:rFonts w:ascii="Times New Roman" w:eastAsia="Times New Roman" w:hAnsi="Times New Roman" w:cs="Times New Roman"/>
              </w:rPr>
              <w:t xml:space="preserve">a smještaj </w:t>
            </w:r>
            <w:r>
              <w:rPr>
                <w:rFonts w:ascii="Times New Roman" w:eastAsia="Times New Roman" w:hAnsi="Times New Roman" w:cs="Times New Roman"/>
              </w:rPr>
              <w:t>linearnih akceleratora</w:t>
            </w:r>
          </w:p>
        </w:tc>
        <w:tc>
          <w:tcPr>
            <w:tcW w:w="1855" w:type="dxa"/>
            <w:shd w:val="clear" w:color="auto" w:fill="auto"/>
          </w:tcPr>
          <w:p w:rsidR="00196FC3" w:rsidRPr="00EA17FB" w:rsidRDefault="005017C4" w:rsidP="007F16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Udio plaćenih računa izvođačima radova</w:t>
            </w:r>
          </w:p>
        </w:tc>
        <w:tc>
          <w:tcPr>
            <w:tcW w:w="852" w:type="dxa"/>
            <w:shd w:val="clear" w:color="auto" w:fill="auto"/>
          </w:tcPr>
          <w:p w:rsidR="00196FC3" w:rsidRPr="00EA17FB" w:rsidRDefault="005017C4" w:rsidP="005017C4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%</w:t>
            </w:r>
          </w:p>
        </w:tc>
        <w:tc>
          <w:tcPr>
            <w:tcW w:w="994" w:type="dxa"/>
            <w:shd w:val="clear" w:color="auto" w:fill="auto"/>
          </w:tcPr>
          <w:p w:rsidR="00196FC3" w:rsidRPr="00EA17FB" w:rsidRDefault="005017C4" w:rsidP="005017C4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25,50</w:t>
            </w:r>
          </w:p>
        </w:tc>
        <w:tc>
          <w:tcPr>
            <w:tcW w:w="995" w:type="dxa"/>
            <w:shd w:val="clear" w:color="auto" w:fill="auto"/>
          </w:tcPr>
          <w:p w:rsidR="00196FC3" w:rsidRPr="00EA17FB" w:rsidRDefault="005017C4" w:rsidP="005017C4">
            <w:pPr>
              <w:spacing w:after="0" w:line="240" w:lineRule="auto"/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Računovodstvo</w:t>
            </w:r>
          </w:p>
        </w:tc>
        <w:tc>
          <w:tcPr>
            <w:tcW w:w="1137" w:type="dxa"/>
            <w:shd w:val="clear" w:color="auto" w:fill="auto"/>
          </w:tcPr>
          <w:p w:rsidR="00196FC3" w:rsidRPr="00EA17FB" w:rsidRDefault="005017C4" w:rsidP="005017C4">
            <w:pPr>
              <w:spacing w:after="0" w:line="36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100 %</w:t>
            </w:r>
          </w:p>
        </w:tc>
        <w:tc>
          <w:tcPr>
            <w:tcW w:w="994" w:type="dxa"/>
            <w:shd w:val="clear" w:color="auto" w:fill="auto"/>
          </w:tcPr>
          <w:p w:rsidR="00196FC3" w:rsidRPr="00E36A86" w:rsidRDefault="00196FC3" w:rsidP="005017C4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7" w:type="dxa"/>
            <w:shd w:val="clear" w:color="auto" w:fill="auto"/>
          </w:tcPr>
          <w:p w:rsidR="00196FC3" w:rsidRPr="00E36A86" w:rsidRDefault="00196FC3" w:rsidP="005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96FC3" w:rsidRPr="00E36A86" w:rsidRDefault="00196FC3" w:rsidP="005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96FC3" w:rsidRPr="00E36A86" w:rsidRDefault="00196FC3" w:rsidP="005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96FC3" w:rsidRPr="00E36A86" w:rsidRDefault="00196FC3" w:rsidP="005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00619" w:rsidRDefault="00400619" w:rsidP="00BD66A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6DEE" w:rsidRDefault="00646DEE" w:rsidP="00DA1363">
      <w:pPr>
        <w:spacing w:after="24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D2278" w:rsidRDefault="00DD2278" w:rsidP="00DA1363">
      <w:pPr>
        <w:spacing w:after="24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9E024C" w:rsidRDefault="009E024C" w:rsidP="00F8400B">
      <w:pPr>
        <w:spacing w:before="240" w:after="24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62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3605 SIGURNOST GRAĐANA I PRAVA NA ZDRAVSTVENE USLUGE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418"/>
        <w:gridCol w:w="1417"/>
        <w:gridCol w:w="1418"/>
        <w:gridCol w:w="992"/>
      </w:tblGrid>
      <w:tr w:rsidR="00AA4028" w:rsidRPr="009E024C" w:rsidTr="008959A0">
        <w:tc>
          <w:tcPr>
            <w:tcW w:w="993" w:type="dxa"/>
            <w:shd w:val="clear" w:color="auto" w:fill="auto"/>
          </w:tcPr>
          <w:p w:rsidR="00AA4028" w:rsidRPr="009E024C" w:rsidRDefault="00AA4028" w:rsidP="00AA4028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028">
              <w:rPr>
                <w:rFonts w:ascii="Times New Roman" w:eastAsia="Times New Roman" w:hAnsi="Times New Roman" w:cs="Times New Roman"/>
                <w:lang w:eastAsia="hr-HR"/>
              </w:rPr>
              <w:t>Naziv aktivnosti</w:t>
            </w:r>
          </w:p>
        </w:tc>
        <w:tc>
          <w:tcPr>
            <w:tcW w:w="1701" w:type="dxa"/>
            <w:shd w:val="clear" w:color="auto" w:fill="auto"/>
          </w:tcPr>
          <w:p w:rsidR="00AA4028" w:rsidRPr="00111A37" w:rsidRDefault="00AA4028" w:rsidP="00AA4028">
            <w:pPr>
              <w:rPr>
                <w:rFonts w:ascii="Times New Roman" w:hAnsi="Times New Roman" w:cs="Times New Roman"/>
              </w:rPr>
            </w:pPr>
            <w:r w:rsidRPr="00111A37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417" w:type="dxa"/>
            <w:shd w:val="clear" w:color="auto" w:fill="auto"/>
          </w:tcPr>
          <w:p w:rsidR="00AA4028" w:rsidRPr="00111A37" w:rsidRDefault="00AA4028" w:rsidP="00AA4028">
            <w:pPr>
              <w:rPr>
                <w:rFonts w:ascii="Times New Roman" w:hAnsi="Times New Roman" w:cs="Times New Roman"/>
              </w:rPr>
            </w:pPr>
            <w:r w:rsidRPr="00111A37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418" w:type="dxa"/>
            <w:shd w:val="clear" w:color="auto" w:fill="auto"/>
          </w:tcPr>
          <w:p w:rsidR="00AA4028" w:rsidRPr="00111A37" w:rsidRDefault="00AA4028" w:rsidP="00AA4028">
            <w:pPr>
              <w:rPr>
                <w:rFonts w:ascii="Times New Roman" w:hAnsi="Times New Roman" w:cs="Times New Roman"/>
              </w:rPr>
            </w:pPr>
            <w:r w:rsidRPr="00111A37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417" w:type="dxa"/>
            <w:shd w:val="clear" w:color="auto" w:fill="auto"/>
          </w:tcPr>
          <w:p w:rsidR="00AA4028" w:rsidRPr="00111A37" w:rsidRDefault="00AA4028" w:rsidP="00AA4028">
            <w:pPr>
              <w:rPr>
                <w:rFonts w:ascii="Times New Roman" w:hAnsi="Times New Roman" w:cs="Times New Roman"/>
              </w:rPr>
            </w:pPr>
            <w:r w:rsidRPr="00111A37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418" w:type="dxa"/>
            <w:shd w:val="clear" w:color="auto" w:fill="auto"/>
          </w:tcPr>
          <w:p w:rsidR="00AA4028" w:rsidRPr="00111A37" w:rsidRDefault="00AA4028" w:rsidP="00AA4028">
            <w:pPr>
              <w:rPr>
                <w:rFonts w:ascii="Times New Roman" w:hAnsi="Times New Roman" w:cs="Times New Roman"/>
              </w:rPr>
            </w:pPr>
            <w:r w:rsidRPr="00111A37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992" w:type="dxa"/>
            <w:shd w:val="clear" w:color="auto" w:fill="auto"/>
          </w:tcPr>
          <w:p w:rsidR="00AA4028" w:rsidRPr="00111A37" w:rsidRDefault="00AA4028" w:rsidP="00AA4028">
            <w:pPr>
              <w:rPr>
                <w:rFonts w:ascii="Times New Roman" w:hAnsi="Times New Roman" w:cs="Times New Roman"/>
              </w:rPr>
            </w:pPr>
            <w:r w:rsidRPr="00111A37">
              <w:rPr>
                <w:rFonts w:ascii="Times New Roman" w:hAnsi="Times New Roman" w:cs="Times New Roman"/>
              </w:rPr>
              <w:t>Indeks 26/25</w:t>
            </w:r>
          </w:p>
        </w:tc>
      </w:tr>
      <w:tr w:rsidR="00DA1363" w:rsidRPr="009E024C" w:rsidTr="008959A0">
        <w:tc>
          <w:tcPr>
            <w:tcW w:w="993" w:type="dxa"/>
            <w:shd w:val="clear" w:color="auto" w:fill="auto"/>
          </w:tcPr>
          <w:p w:rsidR="00DA1363" w:rsidRPr="00450E80" w:rsidRDefault="00DA1363" w:rsidP="00DA1363">
            <w:pPr>
              <w:tabs>
                <w:tab w:val="left" w:pos="670"/>
              </w:tabs>
              <w:spacing w:before="120" w:after="0" w:line="240" w:lineRule="auto"/>
              <w:ind w:right="7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3605</w:t>
            </w:r>
          </w:p>
        </w:tc>
        <w:tc>
          <w:tcPr>
            <w:tcW w:w="1701" w:type="dxa"/>
            <w:shd w:val="clear" w:color="auto" w:fill="auto"/>
          </w:tcPr>
          <w:p w:rsidR="00DA1363" w:rsidRPr="00450E80" w:rsidRDefault="00AA4028" w:rsidP="000D080E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286.457.984,55</w:t>
            </w:r>
          </w:p>
        </w:tc>
        <w:tc>
          <w:tcPr>
            <w:tcW w:w="1417" w:type="dxa"/>
            <w:shd w:val="clear" w:color="auto" w:fill="auto"/>
          </w:tcPr>
          <w:p w:rsidR="00DA1363" w:rsidRPr="00450E80" w:rsidRDefault="00C728AA" w:rsidP="00C0760C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306.444.849</w:t>
            </w:r>
          </w:p>
        </w:tc>
        <w:tc>
          <w:tcPr>
            <w:tcW w:w="1418" w:type="dxa"/>
            <w:shd w:val="clear" w:color="auto" w:fill="auto"/>
          </w:tcPr>
          <w:p w:rsidR="00DA1363" w:rsidRPr="00450E80" w:rsidRDefault="008959A0" w:rsidP="000D080E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322.681.692</w:t>
            </w:r>
          </w:p>
        </w:tc>
        <w:tc>
          <w:tcPr>
            <w:tcW w:w="1417" w:type="dxa"/>
            <w:shd w:val="clear" w:color="auto" w:fill="auto"/>
          </w:tcPr>
          <w:p w:rsidR="00DA1363" w:rsidRPr="00450E80" w:rsidRDefault="008959A0" w:rsidP="000D080E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337.365.777</w:t>
            </w:r>
          </w:p>
        </w:tc>
        <w:tc>
          <w:tcPr>
            <w:tcW w:w="1418" w:type="dxa"/>
            <w:shd w:val="clear" w:color="auto" w:fill="auto"/>
          </w:tcPr>
          <w:p w:rsidR="00DA1363" w:rsidRPr="00450E80" w:rsidRDefault="008959A0" w:rsidP="000D080E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354.053.987</w:t>
            </w:r>
          </w:p>
        </w:tc>
        <w:tc>
          <w:tcPr>
            <w:tcW w:w="992" w:type="dxa"/>
            <w:shd w:val="clear" w:color="auto" w:fill="auto"/>
          </w:tcPr>
          <w:p w:rsidR="00DA1363" w:rsidRPr="00450E80" w:rsidRDefault="00196FC3" w:rsidP="00C0760C">
            <w:pPr>
              <w:tabs>
                <w:tab w:val="left" w:pos="670"/>
              </w:tabs>
              <w:spacing w:before="120" w:after="0" w:line="240" w:lineRule="auto"/>
              <w:ind w:right="73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105,30</w:t>
            </w:r>
          </w:p>
        </w:tc>
      </w:tr>
    </w:tbl>
    <w:p w:rsidR="00C056C1" w:rsidRDefault="00C056C1" w:rsidP="00A75F6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56C1" w:rsidRDefault="00C056C1" w:rsidP="00A75F6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Default="009E024C" w:rsidP="00A75F6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 1. Zaštita, očuvanje i unapređenje zdravlja</w:t>
      </w:r>
    </w:p>
    <w:p w:rsidR="00DA1363" w:rsidRPr="009E024C" w:rsidRDefault="00DA1363" w:rsidP="00A75F6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9E024C" w:rsidRDefault="009E024C" w:rsidP="009E024C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9E024C" w:rsidRDefault="009E024C" w:rsidP="009E024C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 Aktivnost A895001 – ADMINISTRACIJA I UPRAVLJAN</w:t>
      </w:r>
      <w:r w:rsidR="00A75F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 – OSTALI </w:t>
      </w:r>
      <w:r w:rsidR="00A75F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       </w:t>
      </w: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IZVORI  FINANCIRANJA</w:t>
      </w:r>
    </w:p>
    <w:p w:rsidR="008E3300" w:rsidRDefault="008E3300" w:rsidP="00E60FBB">
      <w:pPr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9E024C" w:rsidRDefault="009E024C" w:rsidP="00DA1363">
      <w:pPr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9B578B" w:rsidRDefault="00201D86" w:rsidP="00210D1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1D8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proračunskom okviru za razdoblje 202</w:t>
      </w:r>
      <w:r w:rsidR="006443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01D86">
        <w:rPr>
          <w:rFonts w:ascii="Times New Roman" w:eastAsia="Times New Roman" w:hAnsi="Times New Roman" w:cs="Times New Roman"/>
          <w:sz w:val="24"/>
          <w:szCs w:val="24"/>
          <w:lang w:eastAsia="hr-HR"/>
        </w:rPr>
        <w:t>. - 202</w:t>
      </w:r>
      <w:r w:rsidR="006443F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01D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9E024C"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zdravstvenoj zaštiti; Zakon o obveznom zdravstvenom osiguranju; Opći uvjeti ugovora o dopunskom zdravstvenom osiguranju; Zakon o djelatnostima u zdravstvu; Zakon o zaštiti prava pacijenata; Odluka o osnovama za sklapanje ugovora o provođenju zdravstvene zaštite iz obveznog zdravstvenog osiguranja; Ugovor o provođenju bolničke i specijalističko-konzilijarne zdravstvene zaštite s HZZO; Zakon o proračunu; Zakon o radu; Zakon o porezu na dohodak; Zakon o PDV-u; Zakon o obveznim odnosima; Zakon o zakupu poslovnog prostora; Pravilnik o uvjetima i načinu provođenja dopunskog zdravstvenog osiguranja; Uredba o fiskalnoj odgovornosti; Interni akt Odluka o naplati nenaplaćenih potraživanja; Kolektivni ugovor za djelatnost zdravstva i zdravstvenog osiguranja; Temeljni kolektivni ugovor za službenike i namještenike u javnim službama; Ugovor o provođenju Nacionalnog programa prevencije raka dojke s HZZO; Ugovor o provođenju Nacionalnog programa ranog otkrivanja raka debelog crijeva s HZZO; Ugovor o provođenju Nacionalnog programa ranog otkrivanja raka vrata maternice s HZZO; Ugovor o provođenju Nacionalnog preventivnog programa ranog otkrivanja slabovidnosti s HZZO; Ugovor o provođenju Nacionalnog programa za probir i rano otkrivanje raka pluća</w:t>
      </w:r>
    </w:p>
    <w:p w:rsidR="009E024C" w:rsidRPr="00EE347A" w:rsidRDefault="009E024C" w:rsidP="00E60FBB">
      <w:pPr>
        <w:tabs>
          <w:tab w:val="left" w:pos="851"/>
        </w:tabs>
        <w:spacing w:before="360"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3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Planirana i izvršena financijska sredstva na razini aktivnosti</w:t>
      </w:r>
    </w:p>
    <w:p w:rsidR="009E024C" w:rsidRPr="00EE347A" w:rsidRDefault="009E024C" w:rsidP="009E024C">
      <w:pPr>
        <w:tabs>
          <w:tab w:val="left" w:pos="284"/>
        </w:tabs>
        <w:spacing w:after="0" w:line="240" w:lineRule="auto"/>
        <w:ind w:left="124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560"/>
        <w:gridCol w:w="1593"/>
        <w:gridCol w:w="1242"/>
        <w:gridCol w:w="1275"/>
        <w:gridCol w:w="1276"/>
        <w:gridCol w:w="1134"/>
      </w:tblGrid>
      <w:tr w:rsidR="00AA4028" w:rsidRPr="009E024C" w:rsidTr="005D0B9F">
        <w:tc>
          <w:tcPr>
            <w:tcW w:w="1100" w:type="dxa"/>
            <w:shd w:val="clear" w:color="auto" w:fill="auto"/>
          </w:tcPr>
          <w:p w:rsidR="00AA4028" w:rsidRPr="00EE347A" w:rsidRDefault="00AA4028" w:rsidP="00AA4028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47A">
              <w:rPr>
                <w:rFonts w:ascii="Times New Roman" w:eastAsia="Times New Roman" w:hAnsi="Times New Roman" w:cs="Times New Roman"/>
                <w:lang w:eastAsia="hr-HR"/>
              </w:rPr>
              <w:t>Naziv aktivnosti</w:t>
            </w:r>
          </w:p>
        </w:tc>
        <w:tc>
          <w:tcPr>
            <w:tcW w:w="1560" w:type="dxa"/>
            <w:shd w:val="clear" w:color="auto" w:fill="auto"/>
          </w:tcPr>
          <w:p w:rsidR="00AA4028" w:rsidRPr="00CE4442" w:rsidRDefault="00AA4028" w:rsidP="00AA4028">
            <w:pPr>
              <w:rPr>
                <w:rFonts w:ascii="Times New Roman" w:hAnsi="Times New Roman" w:cs="Times New Roman"/>
              </w:rPr>
            </w:pPr>
            <w:r w:rsidRPr="00CE4442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593" w:type="dxa"/>
            <w:shd w:val="clear" w:color="auto" w:fill="auto"/>
          </w:tcPr>
          <w:p w:rsidR="00AA4028" w:rsidRPr="00CE4442" w:rsidRDefault="00AA4028" w:rsidP="00AA4028">
            <w:pPr>
              <w:rPr>
                <w:rFonts w:ascii="Times New Roman" w:hAnsi="Times New Roman" w:cs="Times New Roman"/>
              </w:rPr>
            </w:pPr>
            <w:r w:rsidRPr="00CE4442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242" w:type="dxa"/>
            <w:shd w:val="clear" w:color="auto" w:fill="auto"/>
          </w:tcPr>
          <w:p w:rsidR="00AA4028" w:rsidRPr="00CE4442" w:rsidRDefault="00AA4028" w:rsidP="00AA4028">
            <w:pPr>
              <w:rPr>
                <w:rFonts w:ascii="Times New Roman" w:hAnsi="Times New Roman" w:cs="Times New Roman"/>
              </w:rPr>
            </w:pPr>
            <w:r w:rsidRPr="00CE4442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275" w:type="dxa"/>
            <w:shd w:val="clear" w:color="auto" w:fill="auto"/>
          </w:tcPr>
          <w:p w:rsidR="00AA4028" w:rsidRPr="00CE4442" w:rsidRDefault="00AA4028" w:rsidP="00AA4028">
            <w:pPr>
              <w:rPr>
                <w:rFonts w:ascii="Times New Roman" w:hAnsi="Times New Roman" w:cs="Times New Roman"/>
              </w:rPr>
            </w:pPr>
            <w:r w:rsidRPr="00CE4442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276" w:type="dxa"/>
            <w:shd w:val="clear" w:color="auto" w:fill="auto"/>
          </w:tcPr>
          <w:p w:rsidR="00AA4028" w:rsidRPr="00CE4442" w:rsidRDefault="00AA4028" w:rsidP="00AA4028">
            <w:pPr>
              <w:rPr>
                <w:rFonts w:ascii="Times New Roman" w:hAnsi="Times New Roman" w:cs="Times New Roman"/>
              </w:rPr>
            </w:pPr>
            <w:r w:rsidRPr="00CE4442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1134" w:type="dxa"/>
            <w:shd w:val="clear" w:color="auto" w:fill="auto"/>
          </w:tcPr>
          <w:p w:rsidR="00AA4028" w:rsidRPr="00CE4442" w:rsidRDefault="00AA4028" w:rsidP="00AA4028">
            <w:pPr>
              <w:rPr>
                <w:rFonts w:ascii="Times New Roman" w:hAnsi="Times New Roman" w:cs="Times New Roman"/>
              </w:rPr>
            </w:pPr>
            <w:r w:rsidRPr="00CE4442">
              <w:rPr>
                <w:rFonts w:ascii="Times New Roman" w:hAnsi="Times New Roman" w:cs="Times New Roman"/>
              </w:rPr>
              <w:t>Indeks 26/25</w:t>
            </w:r>
          </w:p>
        </w:tc>
      </w:tr>
      <w:tr w:rsidR="009E024C" w:rsidRPr="009E024C" w:rsidTr="00C728AA">
        <w:trPr>
          <w:trHeight w:val="87"/>
        </w:trPr>
        <w:tc>
          <w:tcPr>
            <w:tcW w:w="1100" w:type="dxa"/>
            <w:shd w:val="clear" w:color="auto" w:fill="auto"/>
          </w:tcPr>
          <w:p w:rsidR="009E024C" w:rsidRPr="009E024C" w:rsidRDefault="009E024C" w:rsidP="009E024C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lang w:eastAsia="hr-HR"/>
              </w:rPr>
              <w:t>A895001</w:t>
            </w:r>
          </w:p>
        </w:tc>
        <w:tc>
          <w:tcPr>
            <w:tcW w:w="1560" w:type="dxa"/>
            <w:shd w:val="clear" w:color="auto" w:fill="auto"/>
          </w:tcPr>
          <w:p w:rsidR="009E024C" w:rsidRPr="009E024C" w:rsidRDefault="004235E7" w:rsidP="009E024C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286.304.672,37</w:t>
            </w:r>
          </w:p>
        </w:tc>
        <w:tc>
          <w:tcPr>
            <w:tcW w:w="1593" w:type="dxa"/>
            <w:shd w:val="clear" w:color="auto" w:fill="auto"/>
          </w:tcPr>
          <w:p w:rsidR="009E024C" w:rsidRPr="009E024C" w:rsidRDefault="00C728AA" w:rsidP="009E024C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305.098.404</w:t>
            </w:r>
          </w:p>
        </w:tc>
        <w:tc>
          <w:tcPr>
            <w:tcW w:w="1242" w:type="dxa"/>
            <w:shd w:val="clear" w:color="auto" w:fill="auto"/>
          </w:tcPr>
          <w:p w:rsidR="009E024C" w:rsidRPr="009E024C" w:rsidRDefault="008959A0" w:rsidP="00EE347A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321.985.674</w:t>
            </w:r>
          </w:p>
        </w:tc>
        <w:tc>
          <w:tcPr>
            <w:tcW w:w="1275" w:type="dxa"/>
            <w:shd w:val="clear" w:color="auto" w:fill="auto"/>
          </w:tcPr>
          <w:p w:rsidR="009E024C" w:rsidRPr="009E024C" w:rsidRDefault="008959A0" w:rsidP="009E024C">
            <w:pPr>
              <w:spacing w:before="120"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337.197.793</w:t>
            </w:r>
          </w:p>
        </w:tc>
        <w:tc>
          <w:tcPr>
            <w:tcW w:w="1276" w:type="dxa"/>
            <w:shd w:val="clear" w:color="auto" w:fill="auto"/>
          </w:tcPr>
          <w:p w:rsidR="009E024C" w:rsidRPr="009E024C" w:rsidRDefault="008959A0" w:rsidP="009E024C">
            <w:pPr>
              <w:spacing w:before="120"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353.876.987</w:t>
            </w:r>
          </w:p>
        </w:tc>
        <w:tc>
          <w:tcPr>
            <w:tcW w:w="1134" w:type="dxa"/>
            <w:shd w:val="clear" w:color="auto" w:fill="auto"/>
          </w:tcPr>
          <w:p w:rsidR="009E024C" w:rsidRPr="009E024C" w:rsidRDefault="00F953F8" w:rsidP="005F0A5E">
            <w:pPr>
              <w:spacing w:before="120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105,54</w:t>
            </w:r>
          </w:p>
        </w:tc>
      </w:tr>
    </w:tbl>
    <w:p w:rsidR="00822A48" w:rsidRPr="003A271B" w:rsidRDefault="009E024C" w:rsidP="003A271B">
      <w:pPr>
        <w:spacing w:after="0" w:line="240" w:lineRule="auto"/>
        <w:ind w:left="709" w:right="-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22A48" w:rsidRPr="009E024C" w:rsidRDefault="00822A48" w:rsidP="00480102">
      <w:pPr>
        <w:spacing w:before="240"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Prikaz i obrazloženje izračuna financijskih sredstava </w:t>
      </w:r>
    </w:p>
    <w:p w:rsidR="00822A48" w:rsidRDefault="00822A48" w:rsidP="006C0ADE">
      <w:pPr>
        <w:spacing w:before="120" w:after="0" w:line="240" w:lineRule="auto"/>
        <w:ind w:right="-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ovoj aktivnosti planirana su sredstva za nesmetano provođenje svih aktivnosti vezanih uz pružanje zdravstvene zaštite pacijentima. </w:t>
      </w:r>
    </w:p>
    <w:p w:rsidR="00822A48" w:rsidRDefault="00822A48" w:rsidP="006C0ADE">
      <w:pPr>
        <w:spacing w:before="100" w:after="0" w:line="240" w:lineRule="auto"/>
        <w:ind w:right="-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ukupnih rashoda i izdataka najveći dio se odnosi na rashode za zaposlenike. Rashodi za bruto plaću i doprinose procijenjeni su temeljem prosječnog broja zaposlenika u prvoj polovici 202</w:t>
      </w:r>
      <w:r w:rsidR="00AB7A8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uz naknade troškova zaposlenima koji uključuju naknade za prijevoz, jubilarne nagrade, otpremnine, dar za djecu, naknade za rođenje djeteta, pomoći za bolovanje duže od 90 dana, te ostale pomoći. </w:t>
      </w:r>
    </w:p>
    <w:p w:rsidR="00210D19" w:rsidRDefault="00822A48" w:rsidP="006C0ADE">
      <w:pPr>
        <w:spacing w:before="100" w:after="0" w:line="240" w:lineRule="auto"/>
        <w:ind w:right="-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materijalnih rashoda najveći udio sredstava planiran je za lijekove i potrošni medicinski materijal. Nadalje, na ovoj aktivnosti planirana su sredstva za krv i krvne pripravke,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živežne namirnice, medicinske plinove, materijal za održavanje čistoće, uredski materijal, ostale razne materijale, utrošenu energiju, ugrađene rezervne dijelove, poštanske izdatke, ostale izdatke, rashode za usluge i sve ostale nespomenute rashode.</w:t>
      </w:r>
    </w:p>
    <w:p w:rsidR="00210D19" w:rsidRPr="00EA56D3" w:rsidRDefault="00480102" w:rsidP="006C0ADE">
      <w:pPr>
        <w:spacing w:before="100" w:after="0" w:line="240" w:lineRule="auto"/>
        <w:ind w:right="-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isteka sklopljenog ugovora za premije osiguranja koje smo do 1. kolovoza 2026. godine planirali na izvoru financiranja 43, temeljem zajedničke nabave koju provodi Ministarstvo zdravstva od navedenog datuma r</w:t>
      </w:r>
      <w:r w:rsid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>ashod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premije osiguranja planira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 smo</w:t>
      </w:r>
      <w:r w:rsid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56D3" w:rsidRPr="00EA5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izvoru financiranja 11</w:t>
      </w:r>
      <w:r w:rsidR="00EA5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EA56D3" w:rsidRPr="00EA5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pći prihodi i primici</w:t>
      </w:r>
      <w:r w:rsidR="00EA5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 w:rsidR="00EA56D3" w:rsidRPr="006443F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A56D3" w:rsidRP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 tome</w:t>
      </w:r>
      <w:r w:rsidR="00CF5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istom izvoru financiranja planirali smo i iznose od 525.304 eura </w:t>
      </w:r>
      <w:r w:rsid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644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projekcijske godine </w:t>
      </w:r>
      <w:r w:rsid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>2027.</w:t>
      </w:r>
      <w:r w:rsidR="00644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2028.</w:t>
      </w:r>
      <w:r w:rsid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56D3" w:rsidRPr="00EA5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22A48" w:rsidRPr="009F058A" w:rsidRDefault="00822A48" w:rsidP="006C0ADE">
      <w:pPr>
        <w:spacing w:before="100" w:after="0" w:line="240" w:lineRule="auto"/>
        <w:ind w:right="-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izvoru financiranja 31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Vlastiti prihodi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planirano je 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572.825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u 202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Najveći dio planiranih sredstva odnosi se na materijalne rashode, a unutar ovog izvora financiranja </w:t>
      </w:r>
      <w:r w:rsidR="00E3447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2.014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E3447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(20 % sredstava osigurava se putem vlastitih prihoda) 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projekt </w:t>
      </w:r>
      <w:proofErr w:type="spellStart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Joint</w:t>
      </w:r>
      <w:proofErr w:type="spellEnd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Action</w:t>
      </w:r>
      <w:proofErr w:type="spellEnd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Networks</w:t>
      </w:r>
      <w:proofErr w:type="spellEnd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Expertise</w:t>
      </w:r>
      <w:proofErr w:type="spellEnd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Cancer</w:t>
      </w:r>
      <w:proofErr w:type="spellEnd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(JANE</w:t>
      </w:r>
      <w:r w:rsidR="0077640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2) usmjerenog na stvaranje sedam EU mreža nove vrste, nazvanih „Mreže stručnosti“ (</w:t>
      </w:r>
      <w:proofErr w:type="spellStart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NoE</w:t>
      </w:r>
      <w:proofErr w:type="spellEnd"/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) u području raka</w:t>
      </w:r>
      <w:r w:rsidR="00904E36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09521D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 w:rsidR="00904E36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9521D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KBC Sestre milosrdnice</w:t>
      </w:r>
      <w:r w:rsidR="00904E36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4EBD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partner</w:t>
      </w:r>
      <w:r w:rsidR="00904E36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</w:t>
      </w:r>
      <w:r w:rsidR="00E3447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9521D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4.699 eura </w:t>
      </w:r>
      <w:r w:rsidR="00E3447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(20 % iznosa projekta se financira iz vlastitih prihoda) 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projekt </w:t>
      </w:r>
      <w:proofErr w:type="spellStart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European </w:t>
      </w:r>
      <w:proofErr w:type="spellStart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Comprehensive</w:t>
      </w:r>
      <w:proofErr w:type="spellEnd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Cancer</w:t>
      </w:r>
      <w:proofErr w:type="spellEnd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Centre Network (</w:t>
      </w:r>
      <w:proofErr w:type="spellStart"/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110311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etCCC</w:t>
      </w:r>
      <w:proofErr w:type="spellEnd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orijentiranog na uspostavljanje mreže certificiranih sveobuhvatnih onkoloških centara u svim državama članicama Europske unije a 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na kojem je K</w:t>
      </w:r>
      <w:r w:rsidR="00CF5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linički bolnički centar 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Sestre milosrdnice pridruženi partner K</w:t>
      </w:r>
      <w:r w:rsidR="00CF55C8">
        <w:rPr>
          <w:rFonts w:ascii="Times New Roman" w:eastAsia="Times New Roman" w:hAnsi="Times New Roman" w:cs="Times New Roman"/>
          <w:sz w:val="24"/>
          <w:szCs w:val="24"/>
          <w:lang w:eastAsia="hr-HR"/>
        </w:rPr>
        <w:t>liničkom bolničkom centru</w:t>
      </w:r>
      <w:r w:rsidR="00B6021C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A0CF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2027. godinu </w:t>
      </w:r>
      <w:r w:rsidR="002A0CF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planirali smo 572.826</w:t>
      </w:r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3447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, te</w:t>
      </w:r>
      <w:r w:rsidR="002A0CF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2028. godinu 587.826 eura</w:t>
      </w:r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Obje projekcijske godine 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 i sredstva koja se odnose na projekt JANE</w:t>
      </w:r>
      <w:r w:rsidR="0077640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i </w:t>
      </w:r>
      <w:proofErr w:type="spellStart"/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110311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etCCC</w:t>
      </w:r>
      <w:proofErr w:type="spellEnd"/>
      <w:r w:rsidR="002A0CF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22A48" w:rsidRPr="009F058A" w:rsidRDefault="00822A48" w:rsidP="006C0ADE">
      <w:pPr>
        <w:spacing w:before="10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Planski iznos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 godini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8A2D7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320.913.164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za </w:t>
      </w:r>
      <w:r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43 Ostali prihodi za posebne namjene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79F7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uključuje prihode od Hrvatskog zavoda za zdravstveno osiguranje (316.426.987 eura</w:t>
      </w:r>
      <w:r w:rsidR="00F14C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14C87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</w:t>
      </w:r>
      <w:r w:rsidR="00F14C87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</w:t>
      </w:r>
      <w:r w:rsidR="00F14C87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Ministarstva zdravstva</w:t>
      </w:r>
      <w:r w:rsidR="007879F7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879F7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a na koji smo dodali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 od participacije, dopunskog osiguranja drugih osiguravajućih kuća te naplate šteta</w:t>
      </w:r>
      <w:r w:rsidR="007879F7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(4.486.177 eura)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Planirani iznos namijenili smo utrošiti za slijedeće rashode: </w:t>
      </w:r>
    </w:p>
    <w:p w:rsidR="00822A48" w:rsidRPr="009E024C" w:rsidRDefault="00822A48" w:rsidP="006C0ADE">
      <w:pPr>
        <w:spacing w:before="100" w:after="0" w:line="240" w:lineRule="auto"/>
        <w:ind w:right="-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Rashodi za zaposlene u iznosu od </w:t>
      </w:r>
      <w:r w:rsidR="002323B9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177.949.200 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eura od čega su plaće za redovan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 </w:t>
      </w:r>
      <w:r w:rsidR="002323B9">
        <w:rPr>
          <w:rFonts w:ascii="Times New Roman" w:eastAsia="Times New Roman" w:hAnsi="Times New Roman" w:cs="Times New Roman"/>
          <w:sz w:val="24"/>
          <w:szCs w:val="24"/>
          <w:lang w:eastAsia="hr-HR"/>
        </w:rPr>
        <w:t>136.228.</w:t>
      </w:r>
      <w:r w:rsidR="002323B9" w:rsidRPr="00264108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Pr="00264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2A0CF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264108" w:rsidRPr="00AB7A82">
        <w:rPr>
          <w:rFonts w:ascii="Times New Roman" w:eastAsia="Times New Roman" w:hAnsi="Times New Roman" w:cs="Times New Roman"/>
          <w:sz w:val="24"/>
          <w:szCs w:val="24"/>
          <w:lang w:eastAsia="hr-HR"/>
        </w:rPr>
        <w:t>4.244</w:t>
      </w:r>
      <w:r w:rsidRPr="00264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zaposlenih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uključivo zamjene, pripravnike i doktore na specijalizaciji x prosječna mjesečna bruto plaća po zaposlenom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2.6</w:t>
      </w:r>
      <w:r w:rsidR="0026410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2A0CFA">
        <w:rPr>
          <w:rFonts w:ascii="Times New Roman" w:eastAsia="Times New Roman" w:hAnsi="Times New Roman" w:cs="Times New Roman"/>
          <w:sz w:val="24"/>
          <w:szCs w:val="24"/>
          <w:lang w:eastAsia="hr-HR"/>
        </w:rPr>
        <w:t>4,92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x 12 mjeseci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= </w:t>
      </w:r>
      <w:r w:rsidR="002323B9">
        <w:rPr>
          <w:rFonts w:ascii="Times New Roman" w:eastAsia="Times New Roman" w:hAnsi="Times New Roman" w:cs="Times New Roman"/>
          <w:sz w:val="24"/>
          <w:szCs w:val="24"/>
          <w:lang w:eastAsia="hr-HR"/>
        </w:rPr>
        <w:t>32.</w:t>
      </w:r>
      <w:r w:rsidR="00FF1032">
        <w:rPr>
          <w:rFonts w:ascii="Times New Roman" w:eastAsia="Times New Roman" w:hAnsi="Times New Roman" w:cs="Times New Roman"/>
          <w:sz w:val="24"/>
          <w:szCs w:val="24"/>
          <w:lang w:eastAsia="hr-HR"/>
        </w:rPr>
        <w:t>099,04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zaposlenom),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odnose se prvenstveno na isplatu plaća vezano uz liječenje bolesnika. U razdoblju </w:t>
      </w:r>
      <w:r w:rsidRPr="009E02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siječanj-prosinac 202</w:t>
      </w:r>
      <w:r w:rsidR="00C679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9E02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zbrinuto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51.</w:t>
      </w:r>
      <w:r w:rsidR="00C679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996</w:t>
      </w:r>
      <w:r w:rsidRPr="009E02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bolesnika u stacionarnom liječenju gdje su proveli </w:t>
      </w:r>
      <w:r w:rsidR="00C679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288.369</w:t>
      </w:r>
      <w:r w:rsidRPr="009E02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dana. Ambulantno, dijagnostički i kroz dnevne bolnice obrađeno je ukupno 1.</w:t>
      </w:r>
      <w:r w:rsidR="00C679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196.886</w:t>
      </w:r>
      <w:r w:rsidRPr="009E02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bolesnika.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67928" w:rsidRDefault="00822A48" w:rsidP="006C0ADE">
      <w:pPr>
        <w:spacing w:before="10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planirani su u iznosu od </w:t>
      </w:r>
      <w:r w:rsidR="00C67928">
        <w:rPr>
          <w:rFonts w:ascii="Times New Roman" w:eastAsia="Times New Roman" w:hAnsi="Times New Roman" w:cs="Times New Roman"/>
          <w:sz w:val="24"/>
          <w:szCs w:val="24"/>
          <w:lang w:eastAsia="hr-HR"/>
        </w:rPr>
        <w:t>141.371.953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67928">
        <w:rPr>
          <w:rFonts w:ascii="Times New Roman" w:eastAsia="Times New Roman" w:hAnsi="Times New Roman" w:cs="Times New Roman"/>
          <w:sz w:val="24"/>
          <w:szCs w:val="24"/>
          <w:lang w:eastAsia="hr-HR"/>
        </w:rPr>
        <w:t>Najveći dio planiranih sredstava ili 80,47 % odnosi se na rashode za lijekove i potrošni medicinski materijal te na rashode za usluge</w:t>
      </w:r>
      <w:r w:rsidR="00787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AB7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usluge tekućeg i investicijskog održavanja, računalne usluge, </w:t>
      </w:r>
      <w:r w:rsidR="007A0604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zdravstvene usluge, komunalne usluge…)</w:t>
      </w:r>
      <w:r w:rsidR="00C67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čine 10,60 % </w:t>
      </w:r>
      <w:r w:rsidR="00387D81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 skupine materijalnih rashoda.</w:t>
      </w:r>
    </w:p>
    <w:p w:rsidR="00822A48" w:rsidRPr="009E024C" w:rsidRDefault="00822A48" w:rsidP="00822A48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planirani su u iznosu od </w:t>
      </w:r>
      <w:r w:rsidR="00387D81">
        <w:rPr>
          <w:rFonts w:ascii="Times New Roman" w:eastAsia="Times New Roman" w:hAnsi="Times New Roman" w:cs="Times New Roman"/>
          <w:sz w:val="24"/>
          <w:szCs w:val="24"/>
          <w:lang w:eastAsia="hr-HR"/>
        </w:rPr>
        <w:t>1.462.011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387D8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najvećim dijelom se odnose na zatezne kamate po sudskim </w:t>
      </w:r>
      <w:r w:rsidR="007A0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proofErr w:type="spellStart"/>
      <w:r w:rsidR="007A0604">
        <w:rPr>
          <w:rFonts w:ascii="Times New Roman" w:eastAsia="Times New Roman" w:hAnsi="Times New Roman" w:cs="Times New Roman"/>
          <w:sz w:val="24"/>
          <w:szCs w:val="24"/>
          <w:lang w:eastAsia="hr-HR"/>
        </w:rPr>
        <w:t>izvansudskim</w:t>
      </w:r>
      <w:proofErr w:type="spellEnd"/>
      <w:r w:rsidR="007A0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nagodbama s </w:t>
      </w:r>
      <w:proofErr w:type="spellStart"/>
      <w:r w:rsidR="007A0604">
        <w:rPr>
          <w:rFonts w:ascii="Times New Roman" w:eastAsia="Times New Roman" w:hAnsi="Times New Roman" w:cs="Times New Roman"/>
          <w:sz w:val="24"/>
          <w:szCs w:val="24"/>
          <w:lang w:eastAsia="hr-HR"/>
        </w:rPr>
        <w:t>veledrogerijama</w:t>
      </w:r>
      <w:proofErr w:type="spellEnd"/>
      <w:r w:rsidR="007A06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22A48" w:rsidRPr="009E024C" w:rsidRDefault="00822A48" w:rsidP="00822A48">
      <w:pPr>
        <w:spacing w:before="120" w:after="0" w:line="240" w:lineRule="auto"/>
        <w:ind w:right="-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rashodi planirani su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387D8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.000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planirani iznos se temelji na procijenjenim iznosima na ime naknada šteta zbog propusta u liječenju temeljem sudskih presuda.</w:t>
      </w:r>
    </w:p>
    <w:p w:rsidR="00822A48" w:rsidRPr="009F058A" w:rsidRDefault="0070437A" w:rsidP="00822A48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projekcija plana za izvor financiranja 43 utvrđena je u iznosu od 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335.771.888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Rashodi za zaposlene planirani su u iznosu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184.189.920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materijalni rashodi u iznosu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149.989.957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financijski rashodi u iznosu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1.462.011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A0CF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</w:t>
      </w:r>
      <w:r w:rsidR="00A654C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</w:t>
      </w:r>
      <w:r w:rsidR="00A654C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13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 eura. </w:t>
      </w:r>
    </w:p>
    <w:p w:rsidR="00822A48" w:rsidRPr="009F058A" w:rsidRDefault="00822A48" w:rsidP="00822A48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 za 202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 u visini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352.483.441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se na rashode za zaposlene u iznosu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191.882.530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materijalne rashode u iznosu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159.008.900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financijske rashode u iznosu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1.462.011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A0CFA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rashode u iznosu od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130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.000 eura.</w:t>
      </w:r>
    </w:p>
    <w:p w:rsidR="00E55142" w:rsidRPr="009F058A" w:rsidRDefault="00822A48" w:rsidP="000F4DFD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ove aktivnosti </w:t>
      </w:r>
      <w:r w:rsidR="0077640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77640E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izvoru financiranja 51</w:t>
      </w:r>
      <w:r w:rsidR="00387D81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000</w:t>
      </w:r>
      <w:r w:rsidR="0077640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7D81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Programi Unije – raspoloživ predujam 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planirali smo </w:t>
      </w:r>
      <w:r w:rsidR="0077640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provedbu projekta JANE</w:t>
      </w:r>
      <w:r w:rsidR="0077640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0752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759FF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(48.059 eura)</w:t>
      </w:r>
      <w:r w:rsidR="0070752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04E36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projekta </w:t>
      </w:r>
      <w:proofErr w:type="spellStart"/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110311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87D81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etCCC</w:t>
      </w:r>
      <w:proofErr w:type="spellEnd"/>
      <w:r w:rsidR="007759FF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(19.657eura</w:t>
      </w:r>
      <w:r w:rsidR="007879F7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navedene projekte ovaj izvor financiranja pokriva 80 % planiranog iznosa za pojedinu godinu.</w:t>
      </w:r>
      <w:r w:rsidR="00C51D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U 2027. godini planirano je 89.244 eura za projekt JANE</w:t>
      </w:r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2 od kojih ćemo prenijeti 41.185 eura K</w:t>
      </w:r>
      <w:r w:rsidR="00C34129">
        <w:rPr>
          <w:rFonts w:ascii="Times New Roman" w:eastAsia="Times New Roman" w:hAnsi="Times New Roman" w:cs="Times New Roman"/>
          <w:sz w:val="24"/>
          <w:szCs w:val="24"/>
          <w:lang w:eastAsia="hr-HR"/>
        </w:rPr>
        <w:t>liničkom bolničkom centru</w:t>
      </w:r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 kao</w:t>
      </w:r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pridruženom </w:t>
      </w:r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partneru na projektu</w:t>
      </w:r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19.657 eura za projekt </w:t>
      </w:r>
      <w:proofErr w:type="spellStart"/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EUNnetCCC</w:t>
      </w:r>
      <w:proofErr w:type="spellEnd"/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prenesenih sredstava K</w:t>
      </w:r>
      <w:r w:rsidR="00C34129">
        <w:rPr>
          <w:rFonts w:ascii="Times New Roman" w:eastAsia="Times New Roman" w:hAnsi="Times New Roman" w:cs="Times New Roman"/>
          <w:sz w:val="24"/>
          <w:szCs w:val="24"/>
          <w:lang w:eastAsia="hr-HR"/>
        </w:rPr>
        <w:t>liničkog bolničkog centra</w:t>
      </w:r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 kojem smo mi pridruženi partner na projektu</w:t>
      </w:r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. U 2028. godini za projekt JANE</w:t>
      </w:r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planiran je iznos od 48.059 eura dok se na projekt </w:t>
      </w:r>
      <w:proofErr w:type="spellStart"/>
      <w:r w:rsidR="00E5514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110311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0F4DFD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etCCC</w:t>
      </w:r>
      <w:proofErr w:type="spellEnd"/>
      <w:r w:rsidR="000F4DFD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19.657 eura. </w:t>
      </w:r>
    </w:p>
    <w:p w:rsidR="00904E36" w:rsidRPr="009F058A" w:rsidRDefault="00C34129" w:rsidP="000F4DFD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Razvoj i validacija novih inovativnih analitičkih metoda u analizi vodećih očnih bolesti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SPIN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kojem je 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linički bolnički centar 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Sestre milosrdnice partner </w:t>
      </w:r>
      <w:proofErr w:type="spellStart"/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Sample</w:t>
      </w:r>
      <w:proofErr w:type="spellEnd"/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Controlu</w:t>
      </w:r>
      <w:proofErr w:type="spellEnd"/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unutar ove aktivnosti na izvor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financiranja </w:t>
      </w:r>
      <w:r w:rsidR="00FB5892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56311 - Europski fond za regionalni razvoj – </w:t>
      </w:r>
      <w:proofErr w:type="spellStart"/>
      <w:r w:rsidR="00FB5892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predfinaciranje</w:t>
      </w:r>
      <w:proofErr w:type="spellEnd"/>
      <w:r w:rsidR="00FB5892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izvora 11 Opći prihodi i primci. 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Planom obuhvaćena sredstva za 2026. godinu iznose 2.392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B589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smo za 202</w:t>
      </w:r>
      <w:r w:rsidR="00BE4CCE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7. godinu planirali 7.174 eura kada i završava projekt.</w:t>
      </w:r>
    </w:p>
    <w:p w:rsidR="006118B2" w:rsidRDefault="00BE4CCE" w:rsidP="004205BA">
      <w:pPr>
        <w:spacing w:before="120"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</w:t>
      </w:r>
      <w:r w:rsidR="00822A48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zvor</w:t>
      </w:r>
      <w:r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822A48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financiranja 61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A48" w:rsidRPr="009F0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Donacije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laniramo</w:t>
      </w:r>
      <w:r w:rsidR="00822A48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6118B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2026. godinu 210.700 eura, za 2027. godinu 211.700 eura</w:t>
      </w:r>
      <w:r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118B2" w:rsidRPr="009F0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za 2028. godinu 212.700 eura, od čega se za sve tri planske godine najveći dio odnosi na materijalne rashode.</w:t>
      </w:r>
      <w:r w:rsidR="00611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822A48" w:rsidRDefault="00822A48" w:rsidP="00A75F6F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9E024C" w:rsidRDefault="009E024C" w:rsidP="00064C9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4C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rezultata</w:t>
      </w:r>
    </w:p>
    <w:p w:rsidR="009E024C" w:rsidRPr="009E024C" w:rsidRDefault="009E024C" w:rsidP="009E024C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739"/>
        <w:gridCol w:w="1070"/>
        <w:gridCol w:w="1122"/>
        <w:gridCol w:w="993"/>
        <w:gridCol w:w="1134"/>
        <w:gridCol w:w="1093"/>
        <w:gridCol w:w="1316"/>
      </w:tblGrid>
      <w:tr w:rsidR="009E024C" w:rsidRPr="009E024C" w:rsidTr="008C5D88">
        <w:trPr>
          <w:trHeight w:val="684"/>
        </w:trPr>
        <w:tc>
          <w:tcPr>
            <w:tcW w:w="1172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739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070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left="-108"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22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Polazna vrijednost</w:t>
            </w:r>
          </w:p>
          <w:p w:rsidR="009E024C" w:rsidRPr="009E024C" w:rsidRDefault="009E024C" w:rsidP="009E024C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34" w:type="dxa"/>
            <w:shd w:val="clear" w:color="auto" w:fill="auto"/>
          </w:tcPr>
          <w:p w:rsidR="009E024C" w:rsidRPr="009E024C" w:rsidRDefault="009E024C" w:rsidP="000F4DFD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1093" w:type="dxa"/>
            <w:shd w:val="clear" w:color="auto" w:fill="auto"/>
          </w:tcPr>
          <w:p w:rsidR="009E024C" w:rsidRPr="009E024C" w:rsidRDefault="009E024C" w:rsidP="000F4D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1316" w:type="dxa"/>
            <w:shd w:val="clear" w:color="auto" w:fill="auto"/>
          </w:tcPr>
          <w:p w:rsidR="009E024C" w:rsidRPr="009E024C" w:rsidRDefault="009E024C" w:rsidP="000F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</w:tr>
      <w:tr w:rsidR="003D49FF" w:rsidRPr="009E024C" w:rsidTr="008C5D88">
        <w:trPr>
          <w:cantSplit/>
          <w:trHeight w:val="941"/>
        </w:trPr>
        <w:tc>
          <w:tcPr>
            <w:tcW w:w="1172" w:type="dxa"/>
            <w:shd w:val="clear" w:color="auto" w:fill="auto"/>
          </w:tcPr>
          <w:p w:rsidR="003D49FF" w:rsidRPr="009E024C" w:rsidRDefault="003D49FF" w:rsidP="003D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lang w:eastAsia="hr-HR"/>
              </w:rPr>
              <w:t>Prosječna dužina liječenja akutnih pacijenata</w:t>
            </w:r>
          </w:p>
        </w:tc>
        <w:tc>
          <w:tcPr>
            <w:tcW w:w="1739" w:type="dxa"/>
            <w:shd w:val="clear" w:color="auto" w:fill="auto"/>
          </w:tcPr>
          <w:p w:rsidR="003D49FF" w:rsidRPr="009E024C" w:rsidRDefault="003D49FF" w:rsidP="003D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dužine liječenja u akutnim bolnicama</w:t>
            </w:r>
          </w:p>
        </w:tc>
        <w:tc>
          <w:tcPr>
            <w:tcW w:w="1070" w:type="dxa"/>
            <w:shd w:val="clear" w:color="auto" w:fill="auto"/>
          </w:tcPr>
          <w:p w:rsidR="003D49FF" w:rsidRPr="009E024C" w:rsidRDefault="003D49FF" w:rsidP="003D49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Prosječan broj dana</w:t>
            </w:r>
          </w:p>
        </w:tc>
        <w:tc>
          <w:tcPr>
            <w:tcW w:w="1122" w:type="dxa"/>
            <w:shd w:val="clear" w:color="auto" w:fill="auto"/>
          </w:tcPr>
          <w:p w:rsidR="003D49FF" w:rsidRPr="009E024C" w:rsidRDefault="003D49FF" w:rsidP="003D49FF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hr-HR"/>
              </w:rPr>
            </w:pPr>
            <w:r w:rsidRPr="003D4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5,55</w:t>
            </w:r>
          </w:p>
        </w:tc>
        <w:tc>
          <w:tcPr>
            <w:tcW w:w="993" w:type="dxa"/>
            <w:shd w:val="clear" w:color="auto" w:fill="auto"/>
          </w:tcPr>
          <w:p w:rsidR="003D49FF" w:rsidRPr="009E024C" w:rsidRDefault="003D49FF" w:rsidP="003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BIS</w:t>
            </w:r>
          </w:p>
        </w:tc>
        <w:tc>
          <w:tcPr>
            <w:tcW w:w="1134" w:type="dxa"/>
            <w:shd w:val="clear" w:color="auto" w:fill="auto"/>
          </w:tcPr>
          <w:p w:rsidR="003D49FF" w:rsidRPr="009E024C" w:rsidRDefault="003D49FF" w:rsidP="003D49FF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5,45</w:t>
            </w:r>
          </w:p>
        </w:tc>
        <w:tc>
          <w:tcPr>
            <w:tcW w:w="1093" w:type="dxa"/>
            <w:shd w:val="clear" w:color="auto" w:fill="auto"/>
          </w:tcPr>
          <w:p w:rsidR="003D49FF" w:rsidRPr="009E024C" w:rsidRDefault="003D49FF" w:rsidP="003D49FF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5,35</w:t>
            </w:r>
          </w:p>
        </w:tc>
        <w:tc>
          <w:tcPr>
            <w:tcW w:w="1316" w:type="dxa"/>
            <w:shd w:val="clear" w:color="auto" w:fill="auto"/>
          </w:tcPr>
          <w:p w:rsidR="003D49FF" w:rsidRDefault="003D49FF" w:rsidP="003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5,20</w:t>
            </w:r>
          </w:p>
          <w:p w:rsidR="003D49FF" w:rsidRPr="009E024C" w:rsidRDefault="003D49FF" w:rsidP="003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A75F6F" w:rsidRDefault="00A75F6F" w:rsidP="00A75F6F">
      <w:pPr>
        <w:tabs>
          <w:tab w:val="left" w:pos="851"/>
        </w:tabs>
        <w:spacing w:before="120" w:after="0" w:line="240" w:lineRule="auto"/>
        <w:ind w:right="3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02918" w:rsidRDefault="00302918" w:rsidP="00A75F6F">
      <w:pPr>
        <w:tabs>
          <w:tab w:val="left" w:pos="851"/>
        </w:tabs>
        <w:spacing w:before="120" w:after="0" w:line="240" w:lineRule="auto"/>
        <w:ind w:right="3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02918" w:rsidRDefault="00302918" w:rsidP="00A75F6F">
      <w:pPr>
        <w:tabs>
          <w:tab w:val="left" w:pos="851"/>
        </w:tabs>
        <w:spacing w:before="120" w:after="0" w:line="240" w:lineRule="auto"/>
        <w:ind w:right="3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24C" w:rsidRPr="009E024C" w:rsidRDefault="009E024C" w:rsidP="00A75F6F">
      <w:pPr>
        <w:tabs>
          <w:tab w:val="left" w:pos="851"/>
        </w:tabs>
        <w:spacing w:before="120" w:after="0" w:line="240" w:lineRule="auto"/>
        <w:ind w:right="3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 Aktivnost A895003 – PROVEDBA PREVENTIVNIH PROGRAMA</w:t>
      </w:r>
    </w:p>
    <w:p w:rsidR="009E024C" w:rsidRPr="009E024C" w:rsidRDefault="009E024C" w:rsidP="009E024C">
      <w:pPr>
        <w:tabs>
          <w:tab w:val="left" w:pos="851"/>
        </w:tabs>
        <w:spacing w:before="120" w:after="0" w:line="240" w:lineRule="auto"/>
        <w:ind w:right="3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8959A0" w:rsidRDefault="009E024C" w:rsidP="005419C5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zdravstvenoj zaštiti; Zakon o suzbijanju zlouporabe droga; </w:t>
      </w:r>
      <w:r w:rsidR="005419C5" w:rsidRPr="005419C5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proračunskom okviru za razdoblje 202</w:t>
      </w:r>
      <w:r w:rsidR="00822A4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419C5" w:rsidRPr="005419C5">
        <w:rPr>
          <w:rFonts w:ascii="Times New Roman" w:eastAsia="Times New Roman" w:hAnsi="Times New Roman" w:cs="Times New Roman"/>
          <w:sz w:val="24"/>
          <w:szCs w:val="24"/>
          <w:lang w:eastAsia="hr-HR"/>
        </w:rPr>
        <w:t>. - 202</w:t>
      </w:r>
      <w:r w:rsidR="00822A4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419C5" w:rsidRPr="005419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419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akcijski plan suzbijanja zlouporabe droga u Republici Hrvatskoj, Ugovor na temelju Odluke o sufinanciranju programa: Rad Centra za ovisnosti o drogama pri KBC Sestre milosrdnice; Nacionalni preventivni program za rano otkrivanje </w:t>
      </w:r>
      <w:proofErr w:type="spellStart"/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melanoma</w:t>
      </w:r>
      <w:proofErr w:type="spellEnd"/>
      <w:r w:rsidR="001F4642" w:rsidRPr="00674E36">
        <w:rPr>
          <w:rFonts w:ascii="Times New Roman" w:eastAsia="Times New Roman" w:hAnsi="Times New Roman" w:cs="Times New Roman"/>
          <w:sz w:val="24"/>
          <w:szCs w:val="24"/>
          <w:lang w:eastAsia="hr-HR"/>
        </w:rPr>
        <w:t>; Ugovor</w:t>
      </w:r>
      <w:r w:rsidR="00674E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Odluke o sufinanciranju programa Nacionalni program prevencije i ranog otkrivanja </w:t>
      </w:r>
      <w:proofErr w:type="spellStart"/>
      <w:r w:rsidR="00674E36">
        <w:rPr>
          <w:rFonts w:ascii="Times New Roman" w:eastAsia="Times New Roman" w:hAnsi="Times New Roman" w:cs="Times New Roman"/>
          <w:sz w:val="24"/>
          <w:szCs w:val="24"/>
          <w:lang w:eastAsia="hr-HR"/>
        </w:rPr>
        <w:t>melanoma</w:t>
      </w:r>
      <w:proofErr w:type="spellEnd"/>
    </w:p>
    <w:p w:rsidR="00302918" w:rsidRDefault="00302918" w:rsidP="005419C5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02918" w:rsidRDefault="00302918" w:rsidP="005419C5">
      <w:pPr>
        <w:spacing w:before="120"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02918" w:rsidRDefault="00302918" w:rsidP="004205BA">
      <w:pPr>
        <w:tabs>
          <w:tab w:val="left" w:pos="851"/>
        </w:tabs>
        <w:spacing w:after="120" w:line="240" w:lineRule="auto"/>
        <w:ind w:right="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024C" w:rsidRPr="009E024C" w:rsidRDefault="009E024C" w:rsidP="004205BA">
      <w:pPr>
        <w:tabs>
          <w:tab w:val="left" w:pos="851"/>
        </w:tabs>
        <w:spacing w:after="120" w:line="240" w:lineRule="auto"/>
        <w:ind w:right="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Planirana i izvršena financijska sredstva na razini aktivnosti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681"/>
        <w:gridCol w:w="1261"/>
        <w:gridCol w:w="1261"/>
        <w:gridCol w:w="1261"/>
        <w:gridCol w:w="1260"/>
        <w:gridCol w:w="1261"/>
      </w:tblGrid>
      <w:tr w:rsidR="00192753" w:rsidRPr="009E024C" w:rsidTr="00AA4028">
        <w:trPr>
          <w:trHeight w:val="595"/>
        </w:trPr>
        <w:tc>
          <w:tcPr>
            <w:tcW w:w="1087" w:type="dxa"/>
            <w:shd w:val="clear" w:color="auto" w:fill="auto"/>
          </w:tcPr>
          <w:p w:rsidR="00192753" w:rsidRPr="009E024C" w:rsidRDefault="00192753" w:rsidP="00192753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Naziv aktivnosti</w:t>
            </w:r>
          </w:p>
        </w:tc>
        <w:tc>
          <w:tcPr>
            <w:tcW w:w="1681" w:type="dxa"/>
            <w:shd w:val="clear" w:color="auto" w:fill="auto"/>
          </w:tcPr>
          <w:p w:rsidR="00192753" w:rsidRPr="0089781C" w:rsidRDefault="00192753" w:rsidP="00192753">
            <w:pPr>
              <w:rPr>
                <w:rFonts w:ascii="Times New Roman" w:hAnsi="Times New Roman" w:cs="Times New Roman"/>
              </w:rPr>
            </w:pPr>
            <w:r w:rsidRPr="0089781C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261" w:type="dxa"/>
            <w:shd w:val="clear" w:color="auto" w:fill="auto"/>
          </w:tcPr>
          <w:p w:rsidR="00192753" w:rsidRPr="0089781C" w:rsidRDefault="00192753" w:rsidP="00192753">
            <w:pPr>
              <w:rPr>
                <w:rFonts w:ascii="Times New Roman" w:hAnsi="Times New Roman" w:cs="Times New Roman"/>
              </w:rPr>
            </w:pPr>
            <w:r w:rsidRPr="0089781C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261" w:type="dxa"/>
            <w:shd w:val="clear" w:color="auto" w:fill="auto"/>
          </w:tcPr>
          <w:p w:rsidR="00192753" w:rsidRPr="0089781C" w:rsidRDefault="00192753" w:rsidP="00192753">
            <w:pPr>
              <w:rPr>
                <w:rFonts w:ascii="Times New Roman" w:hAnsi="Times New Roman" w:cs="Times New Roman"/>
              </w:rPr>
            </w:pPr>
            <w:r w:rsidRPr="0089781C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261" w:type="dxa"/>
            <w:shd w:val="clear" w:color="auto" w:fill="auto"/>
          </w:tcPr>
          <w:p w:rsidR="00192753" w:rsidRPr="0089781C" w:rsidRDefault="00192753" w:rsidP="00192753">
            <w:pPr>
              <w:rPr>
                <w:rFonts w:ascii="Times New Roman" w:hAnsi="Times New Roman" w:cs="Times New Roman"/>
              </w:rPr>
            </w:pPr>
            <w:r w:rsidRPr="0089781C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260" w:type="dxa"/>
            <w:shd w:val="clear" w:color="auto" w:fill="auto"/>
          </w:tcPr>
          <w:p w:rsidR="00192753" w:rsidRPr="0089781C" w:rsidRDefault="00192753" w:rsidP="00192753">
            <w:pPr>
              <w:rPr>
                <w:rFonts w:ascii="Times New Roman" w:hAnsi="Times New Roman" w:cs="Times New Roman"/>
              </w:rPr>
            </w:pPr>
            <w:r w:rsidRPr="0089781C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1261" w:type="dxa"/>
            <w:shd w:val="clear" w:color="auto" w:fill="auto"/>
          </w:tcPr>
          <w:p w:rsidR="00192753" w:rsidRPr="0089781C" w:rsidRDefault="00192753" w:rsidP="00192753">
            <w:pPr>
              <w:rPr>
                <w:rFonts w:ascii="Times New Roman" w:hAnsi="Times New Roman" w:cs="Times New Roman"/>
              </w:rPr>
            </w:pPr>
            <w:r w:rsidRPr="0089781C">
              <w:rPr>
                <w:rFonts w:ascii="Times New Roman" w:hAnsi="Times New Roman" w:cs="Times New Roman"/>
              </w:rPr>
              <w:t>Indeks 26/25</w:t>
            </w:r>
          </w:p>
        </w:tc>
      </w:tr>
      <w:tr w:rsidR="005D0B9F" w:rsidRPr="009E024C" w:rsidTr="008E3300">
        <w:trPr>
          <w:trHeight w:val="384"/>
        </w:trPr>
        <w:tc>
          <w:tcPr>
            <w:tcW w:w="1087" w:type="dxa"/>
            <w:shd w:val="clear" w:color="auto" w:fill="auto"/>
          </w:tcPr>
          <w:p w:rsidR="005D0B9F" w:rsidRPr="009E024C" w:rsidRDefault="005D0B9F" w:rsidP="005D0B9F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A895003</w:t>
            </w:r>
          </w:p>
        </w:tc>
        <w:tc>
          <w:tcPr>
            <w:tcW w:w="1681" w:type="dxa"/>
            <w:shd w:val="clear" w:color="auto" w:fill="auto"/>
          </w:tcPr>
          <w:p w:rsidR="005D0B9F" w:rsidRPr="009E024C" w:rsidRDefault="00AA4028" w:rsidP="005D0B9F">
            <w:pPr>
              <w:spacing w:before="12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153.312,18</w:t>
            </w:r>
          </w:p>
        </w:tc>
        <w:tc>
          <w:tcPr>
            <w:tcW w:w="1261" w:type="dxa"/>
            <w:shd w:val="clear" w:color="auto" w:fill="auto"/>
          </w:tcPr>
          <w:p w:rsidR="005D0B9F" w:rsidRPr="009E024C" w:rsidRDefault="005D0B9F" w:rsidP="005D0B9F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176.318</w:t>
            </w:r>
          </w:p>
        </w:tc>
        <w:tc>
          <w:tcPr>
            <w:tcW w:w="1261" w:type="dxa"/>
            <w:shd w:val="clear" w:color="auto" w:fill="auto"/>
          </w:tcPr>
          <w:p w:rsidR="005D0B9F" w:rsidRPr="009E024C" w:rsidRDefault="008959A0" w:rsidP="005D0B9F">
            <w:pPr>
              <w:spacing w:before="12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167.984</w:t>
            </w:r>
          </w:p>
        </w:tc>
        <w:tc>
          <w:tcPr>
            <w:tcW w:w="1261" w:type="dxa"/>
            <w:shd w:val="clear" w:color="auto" w:fill="auto"/>
          </w:tcPr>
          <w:p w:rsidR="005D0B9F" w:rsidRPr="009E024C" w:rsidRDefault="008959A0" w:rsidP="005D0B9F">
            <w:pPr>
              <w:spacing w:before="120"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167.984</w:t>
            </w:r>
          </w:p>
        </w:tc>
        <w:tc>
          <w:tcPr>
            <w:tcW w:w="1260" w:type="dxa"/>
            <w:shd w:val="clear" w:color="auto" w:fill="auto"/>
          </w:tcPr>
          <w:p w:rsidR="005D0B9F" w:rsidRPr="009E024C" w:rsidRDefault="008959A0" w:rsidP="005D0B9F">
            <w:pPr>
              <w:tabs>
                <w:tab w:val="left" w:pos="1301"/>
              </w:tabs>
              <w:spacing w:before="120"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177.000</w:t>
            </w:r>
          </w:p>
        </w:tc>
        <w:tc>
          <w:tcPr>
            <w:tcW w:w="1261" w:type="dxa"/>
            <w:shd w:val="clear" w:color="auto" w:fill="auto"/>
          </w:tcPr>
          <w:p w:rsidR="005D0B9F" w:rsidRPr="009E024C" w:rsidRDefault="00F953F8" w:rsidP="005D0B9F">
            <w:pPr>
              <w:spacing w:before="120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95,27</w:t>
            </w:r>
          </w:p>
        </w:tc>
      </w:tr>
    </w:tbl>
    <w:p w:rsidR="00A74920" w:rsidRDefault="00A74920" w:rsidP="00FB5892">
      <w:pPr>
        <w:spacing w:before="60" w:after="0" w:line="24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52D9" w:rsidRPr="005A52D9" w:rsidRDefault="005A52D9" w:rsidP="005A52D9">
      <w:pPr>
        <w:rPr>
          <w:rFonts w:ascii="Times New Roman" w:hAnsi="Times New Roman" w:cs="Times New Roman"/>
          <w:b/>
          <w:sz w:val="24"/>
          <w:szCs w:val="24"/>
        </w:rPr>
      </w:pPr>
      <w:r w:rsidRPr="005A52D9">
        <w:rPr>
          <w:rFonts w:ascii="Times New Roman" w:hAnsi="Times New Roman" w:cs="Times New Roman"/>
          <w:b/>
          <w:sz w:val="24"/>
          <w:szCs w:val="24"/>
        </w:rPr>
        <w:t xml:space="preserve">Prikaz i obrazloženje izračuna financijskih sredstava </w:t>
      </w:r>
    </w:p>
    <w:p w:rsidR="009E024C" w:rsidRPr="0067031D" w:rsidRDefault="009E024C" w:rsidP="0067031D">
      <w:pPr>
        <w:spacing w:before="60" w:after="0" w:line="240" w:lineRule="auto"/>
        <w:ind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Klinički bolnički centar Sestre milosrdnice je duži niz godina uključen u Preventivne aktivnosti u okviru provedbe Nacionalnog akcijskog plana suzbijanja zlouporabe droga u Republici Hrvatskoj, a obuhvaća savjetovanje, liječenje, prevenciju/promociju i edukaciju </w:t>
      </w:r>
      <w:r w:rsidRPr="00670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stručnjaka, te evaluaciju rada Centara za mentalno zdravlje, a od kraja </w:t>
      </w:r>
      <w:r w:rsidR="00822A48" w:rsidRPr="0067031D">
        <w:rPr>
          <w:rFonts w:ascii="Times New Roman" w:eastAsia="Times New Roman" w:hAnsi="Times New Roman" w:cs="Times New Roman"/>
          <w:sz w:val="24"/>
          <w:szCs w:val="24"/>
          <w:lang w:eastAsia="hr-HR"/>
        </w:rPr>
        <w:t>2023.</w:t>
      </w:r>
      <w:r w:rsidRPr="00670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uključen je i u Nacionalni preventivni program za rano otkrivanje </w:t>
      </w:r>
      <w:proofErr w:type="spellStart"/>
      <w:r w:rsidRPr="0067031D">
        <w:rPr>
          <w:rFonts w:ascii="Times New Roman" w:eastAsia="Times New Roman" w:hAnsi="Times New Roman" w:cs="Times New Roman"/>
          <w:sz w:val="24"/>
          <w:szCs w:val="24"/>
          <w:lang w:eastAsia="hr-HR"/>
        </w:rPr>
        <w:t>melanoma</w:t>
      </w:r>
      <w:proofErr w:type="spellEnd"/>
      <w:r w:rsidRPr="00670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obuhvaća javnozdravstvene akcije na terenu, uključivo i izvođenje operativnih zahvata.</w:t>
      </w:r>
      <w:r w:rsidRPr="006703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6703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vrha navedenog programa je edukacija liječnika, građana, te đaka u školama, kao i rano otkrivanje i liječenje zloćudnih kožnih tumora organiziranjem pregleda na terenu, a time i smanjenja stope smrtnosti u Hrvatskoj. </w:t>
      </w:r>
    </w:p>
    <w:p w:rsidR="00064C96" w:rsidRPr="00894915" w:rsidRDefault="008D409E" w:rsidP="0067031D">
      <w:pPr>
        <w:tabs>
          <w:tab w:val="left" w:pos="851"/>
        </w:tabs>
        <w:spacing w:before="120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aktivnost suzbijanja zlouporabe droga planiran je iznos od </w:t>
      </w:r>
      <w:r w:rsidR="000F4D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49.584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 za 202</w:t>
      </w:r>
      <w:r w:rsidR="000F4D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 </w:t>
      </w:r>
      <w:r w:rsidR="001F46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za 2027. </w:t>
      </w:r>
      <w:r w:rsidR="000F4D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godinu,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F46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za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0F4D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</w:t>
      </w:r>
      <w:r w:rsidR="000F4D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54.000 eura.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74920"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Najveći dio sredstava bit će utrošen na lijekove i test trake na droge, a manji dio na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intelektualne usluge</w:t>
      </w:r>
      <w:r w:rsidR="00A74920"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te nabavu 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sitn</w:t>
      </w:r>
      <w:r w:rsidR="00A74920"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og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inventar</w:t>
      </w:r>
      <w:r w:rsidR="00A74920"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za potrebe rada Centra, 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uredski materijal</w:t>
      </w:r>
      <w:r w:rsidR="00A74920"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usluge teku</w:t>
      </w:r>
      <w:r w:rsidR="00A74920"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ćeg i investicijskog održavanja, 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službena putovanja</w:t>
      </w:r>
      <w:r w:rsidR="00A74920"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6703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za opremanje prostora.</w:t>
      </w:r>
      <w:r w:rsidRPr="00670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A48" w:rsidRPr="006703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rad Centra uključeno </w:t>
      </w:r>
      <w:r w:rsidR="00822A48" w:rsidRPr="0042271A">
        <w:rPr>
          <w:rFonts w:ascii="Times New Roman" w:eastAsia="Times New Roman" w:hAnsi="Times New Roman" w:cs="Times New Roman"/>
          <w:sz w:val="24"/>
          <w:szCs w:val="24"/>
          <w:lang w:eastAsia="hr-HR"/>
        </w:rPr>
        <w:t>je 5 stručnjaka zaposlenih na Klinici za psihijatriju, a kroz godinu prosječno je obuhvaćeno 750 korisnika</w:t>
      </w:r>
      <w:r w:rsidR="00822A48" w:rsidRPr="00064C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D485C" w:rsidRDefault="00822A48" w:rsidP="0067031D">
      <w:pPr>
        <w:tabs>
          <w:tab w:val="left" w:pos="851"/>
        </w:tabs>
        <w:spacing w:before="120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491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 aktivnost ranog otkrivanja </w:t>
      </w:r>
      <w:proofErr w:type="spellStart"/>
      <w:r w:rsidRPr="00894915">
        <w:rPr>
          <w:rFonts w:ascii="Times New Roman" w:eastAsia="Times New Roman" w:hAnsi="Times New Roman" w:cs="Times New Roman"/>
          <w:sz w:val="24"/>
          <w:szCs w:val="24"/>
          <w:lang w:eastAsia="hr-HR"/>
        </w:rPr>
        <w:t>melanoma</w:t>
      </w:r>
      <w:proofErr w:type="spellEnd"/>
      <w:r w:rsidRPr="008949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05B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A74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90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2026. i 2027. godinu planiran je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od </w:t>
      </w:r>
      <w:r w:rsidR="005902D1">
        <w:rPr>
          <w:rFonts w:ascii="Times New Roman" w:eastAsia="Times New Roman" w:hAnsi="Times New Roman" w:cs="Times New Roman"/>
          <w:sz w:val="24"/>
          <w:szCs w:val="24"/>
          <w:lang w:eastAsia="hr-HR"/>
        </w:rPr>
        <w:t>118.400</w:t>
      </w:r>
      <w:r w:rsidR="00A74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90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123.000 eura za 2028. godinu</w:t>
      </w:r>
      <w:r w:rsidR="00A74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D485C">
        <w:rPr>
          <w:rFonts w:ascii="Times New Roman" w:eastAsia="Times New Roman" w:hAnsi="Times New Roman" w:cs="Times New Roman"/>
          <w:sz w:val="24"/>
          <w:szCs w:val="24"/>
          <w:lang w:eastAsia="hr-HR"/>
        </w:rPr>
        <w:t>Najveći dio odnosi se n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a organizaciju javnozdravstvenih akcija u gradovima Republik</w:t>
      </w:r>
      <w:r w:rsidR="00FD4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Hrvatske (službena putovanja), dok je manji dio planiran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organizaciju edukacija </w:t>
      </w:r>
      <w:proofErr w:type="spellStart"/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dermatoskopije</w:t>
      </w:r>
      <w:proofErr w:type="spellEnd"/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provoditelje javnozdravstv</w:t>
      </w:r>
      <w:r w:rsidR="00FD485C">
        <w:rPr>
          <w:rFonts w:ascii="Times New Roman" w:eastAsia="Times New Roman" w:hAnsi="Times New Roman" w:cs="Times New Roman"/>
          <w:sz w:val="24"/>
          <w:szCs w:val="24"/>
          <w:lang w:eastAsia="hr-HR"/>
        </w:rPr>
        <w:t>enih akcija (honorar edukatora)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edukativnih i promotivnih materijala te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nastavnog materij</w:t>
      </w:r>
      <w:r w:rsidR="00FD4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ala za edukaciju đaka u školama, </w:t>
      </w:r>
      <w:r w:rsidR="004205BA">
        <w:rPr>
          <w:rFonts w:ascii="Times New Roman" w:eastAsia="Times New Roman" w:hAnsi="Times New Roman" w:cs="Times New Roman"/>
          <w:sz w:val="24"/>
          <w:szCs w:val="24"/>
          <w:lang w:eastAsia="hr-HR"/>
        </w:rPr>
        <w:t>kao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za nabavu sanitetskog materijala, dezinficijensa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anestetika, kirurških konaca, formalina, </w:t>
      </w:r>
      <w:proofErr w:type="spellStart"/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antišok</w:t>
      </w:r>
      <w:proofErr w:type="spellEnd"/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terapije i sl. za potrebe izvođenja operativnih zahvata na terenu</w:t>
      </w:r>
      <w:r w:rsidR="00FD4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troškove najma dvorana za edukacije.</w:t>
      </w:r>
    </w:p>
    <w:p w:rsidR="00822A48" w:rsidRDefault="00822A48" w:rsidP="0067031D">
      <w:pPr>
        <w:tabs>
          <w:tab w:val="left" w:pos="851"/>
        </w:tabs>
        <w:spacing w:before="120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U provođenju ove aktivnosti sudjeluju specijalisti dermatolozi iz više zdravstvenih ustanova, a nositelj projekta je Klinički bolnički centar Sestre milosrdnice.</w:t>
      </w:r>
    </w:p>
    <w:p w:rsidR="004205BA" w:rsidRPr="009E024C" w:rsidRDefault="004205BA" w:rsidP="004205B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24C" w:rsidRPr="008E3300" w:rsidRDefault="009E024C" w:rsidP="004205BA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79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rezultata</w:t>
      </w:r>
    </w:p>
    <w:tbl>
      <w:tblPr>
        <w:tblW w:w="94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992"/>
        <w:gridCol w:w="1087"/>
        <w:gridCol w:w="996"/>
        <w:gridCol w:w="1087"/>
        <w:gridCol w:w="1176"/>
        <w:gridCol w:w="1176"/>
      </w:tblGrid>
      <w:tr w:rsidR="009E024C" w:rsidRPr="009E024C" w:rsidTr="008E3300">
        <w:tc>
          <w:tcPr>
            <w:tcW w:w="1242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701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992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left="-108"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087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left="-33"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996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087" w:type="dxa"/>
            <w:shd w:val="clear" w:color="auto" w:fill="auto"/>
          </w:tcPr>
          <w:p w:rsidR="009E024C" w:rsidRPr="009E024C" w:rsidRDefault="009E024C" w:rsidP="000F4DFD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1176" w:type="dxa"/>
            <w:shd w:val="clear" w:color="auto" w:fill="auto"/>
          </w:tcPr>
          <w:p w:rsidR="009E024C" w:rsidRPr="009E024C" w:rsidRDefault="009E024C" w:rsidP="000F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1176" w:type="dxa"/>
            <w:shd w:val="clear" w:color="auto" w:fill="auto"/>
          </w:tcPr>
          <w:p w:rsidR="009E024C" w:rsidRPr="009E024C" w:rsidRDefault="009E024C" w:rsidP="000F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</w:tr>
      <w:tr w:rsidR="009E024C" w:rsidRPr="009E024C" w:rsidTr="008E3300">
        <w:tc>
          <w:tcPr>
            <w:tcW w:w="1242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lang w:eastAsia="hr-HR"/>
              </w:rPr>
              <w:t>Udio nabavljenih lijekova i</w:t>
            </w:r>
          </w:p>
          <w:p w:rsidR="009E024C" w:rsidRPr="009E024C" w:rsidRDefault="009E024C" w:rsidP="009E024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lang w:eastAsia="hr-HR"/>
              </w:rPr>
              <w:t xml:space="preserve">test traka u </w:t>
            </w:r>
          </w:p>
          <w:p w:rsidR="009E024C" w:rsidRPr="009E024C" w:rsidRDefault="009E024C" w:rsidP="009E024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lang w:eastAsia="hr-HR"/>
              </w:rPr>
              <w:t>ukupnom broju planiranih lijekova i</w:t>
            </w:r>
          </w:p>
          <w:p w:rsidR="009E024C" w:rsidRPr="009E024C" w:rsidRDefault="009E024C" w:rsidP="009E024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lang w:eastAsia="hr-HR"/>
              </w:rPr>
              <w:t xml:space="preserve">test traka za </w:t>
            </w:r>
          </w:p>
          <w:p w:rsidR="009E024C" w:rsidRPr="009E024C" w:rsidRDefault="009E024C" w:rsidP="009E024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lang w:eastAsia="hr-HR"/>
              </w:rPr>
              <w:t>nabavu</w:t>
            </w:r>
          </w:p>
        </w:tc>
        <w:tc>
          <w:tcPr>
            <w:tcW w:w="1701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Pružanje stručne medicinske pomoći registriranim ovisnicima o</w:t>
            </w:r>
          </w:p>
          <w:p w:rsidR="009E024C" w:rsidRPr="009E024C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drogi</w:t>
            </w:r>
          </w:p>
        </w:tc>
        <w:tc>
          <w:tcPr>
            <w:tcW w:w="992" w:type="dxa"/>
            <w:shd w:val="clear" w:color="auto" w:fill="auto"/>
          </w:tcPr>
          <w:p w:rsidR="009E024C" w:rsidRPr="009E024C" w:rsidRDefault="009E024C" w:rsidP="009E024C">
            <w:pPr>
              <w:tabs>
                <w:tab w:val="left" w:pos="0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tabs>
                <w:tab w:val="left" w:pos="0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tabs>
                <w:tab w:val="left" w:pos="0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tabs>
                <w:tab w:val="left" w:pos="0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tabs>
                <w:tab w:val="left" w:pos="0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1087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DE796F" w:rsidP="00457850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</w:t>
            </w:r>
            <w:r w:rsidR="00457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996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Materijalno knjigovodstvo</w:t>
            </w:r>
          </w:p>
        </w:tc>
        <w:tc>
          <w:tcPr>
            <w:tcW w:w="1087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1176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1176" w:type="dxa"/>
            <w:shd w:val="clear" w:color="auto" w:fill="auto"/>
          </w:tcPr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024C" w:rsidRPr="009E024C" w:rsidRDefault="009E024C" w:rsidP="009E024C">
            <w:pPr>
              <w:spacing w:after="0"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2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</w:tr>
    </w:tbl>
    <w:p w:rsidR="00192753" w:rsidRDefault="00192753" w:rsidP="00761ED6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18B2" w:rsidRDefault="006118B2" w:rsidP="00761ED6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1ED6" w:rsidRDefault="00761ED6" w:rsidP="00761ED6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</w:t>
      </w: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Aktivnost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T895008</w:t>
      </w: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PODIZANJE ISTRAŽIVAČKOG I INOVACIJSKOG </w:t>
      </w:r>
    </w:p>
    <w:p w:rsidR="00761ED6" w:rsidRDefault="00761ED6" w:rsidP="00761ED6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KAPACITETA - </w:t>
      </w:r>
      <w:r w:rsidRPr="00FD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FORMIRANJE BIOBAZE I ANALIZA UZORAKA OČNE </w:t>
      </w:r>
    </w:p>
    <w:p w:rsidR="00761ED6" w:rsidRDefault="00761ED6" w:rsidP="00761ED6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</w:t>
      </w:r>
      <w:r w:rsidRPr="00FD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VODICE/SERUMA RAMANOVOM SPEKTROSKOPIJOM I PLINSKOM </w:t>
      </w:r>
    </w:p>
    <w:p w:rsidR="00761ED6" w:rsidRDefault="00761ED6" w:rsidP="00761ED6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</w:t>
      </w:r>
      <w:r w:rsidRPr="00FD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KROMATOGRAFIJOM KOD VODEĆIH OČNIH BOLESTI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4205BA" w:rsidRPr="009E024C" w:rsidRDefault="004205BA" w:rsidP="00761ED6">
      <w:pPr>
        <w:tabs>
          <w:tab w:val="left" w:pos="284"/>
        </w:tabs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1ED6" w:rsidRDefault="00761ED6" w:rsidP="004205BA">
      <w:pPr>
        <w:spacing w:after="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FB5892" w:rsidRDefault="00C847F9" w:rsidP="00FB5892">
      <w:pPr>
        <w:spacing w:before="120" w:after="240" w:line="240" w:lineRule="auto"/>
        <w:ind w:right="65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plan oporavka i otpornosti 2021.-2026. godine</w:t>
      </w:r>
      <w:r w:rsidR="00CD4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sredstava za projekte koji se financiraju iz Mehanizma za oporavak i otpornost </w:t>
      </w:r>
      <w:r w:rsidR="00CD4E5C"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NPPO.C3.2.R3-I1.04.0287</w:t>
      </w:r>
    </w:p>
    <w:p w:rsidR="00761ED6" w:rsidRPr="00FB5892" w:rsidRDefault="00761ED6" w:rsidP="003643CC">
      <w:pPr>
        <w:spacing w:before="120" w:after="0" w:line="240" w:lineRule="auto"/>
        <w:ind w:right="65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Planirana i izvršena financijska sredstva na razini aktivnosti</w:t>
      </w:r>
    </w:p>
    <w:p w:rsidR="00761ED6" w:rsidRPr="00EE347A" w:rsidRDefault="00761ED6" w:rsidP="003643CC">
      <w:pPr>
        <w:tabs>
          <w:tab w:val="left" w:pos="284"/>
        </w:tabs>
        <w:spacing w:after="0" w:line="240" w:lineRule="auto"/>
        <w:ind w:left="1247"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560"/>
        <w:gridCol w:w="1593"/>
        <w:gridCol w:w="1242"/>
        <w:gridCol w:w="1275"/>
        <w:gridCol w:w="1276"/>
        <w:gridCol w:w="1134"/>
      </w:tblGrid>
      <w:tr w:rsidR="00192753" w:rsidRPr="00302918" w:rsidTr="008B08D4">
        <w:tc>
          <w:tcPr>
            <w:tcW w:w="1100" w:type="dxa"/>
            <w:shd w:val="clear" w:color="auto" w:fill="auto"/>
          </w:tcPr>
          <w:p w:rsidR="00192753" w:rsidRPr="00302918" w:rsidRDefault="00192753" w:rsidP="00192753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02918">
              <w:rPr>
                <w:rFonts w:ascii="Times New Roman" w:eastAsia="Times New Roman" w:hAnsi="Times New Roman" w:cs="Times New Roman"/>
                <w:lang w:eastAsia="hr-HR"/>
              </w:rPr>
              <w:t>Naziv aktivnosti</w:t>
            </w:r>
          </w:p>
        </w:tc>
        <w:tc>
          <w:tcPr>
            <w:tcW w:w="1560" w:type="dxa"/>
            <w:shd w:val="clear" w:color="auto" w:fill="auto"/>
          </w:tcPr>
          <w:p w:rsidR="00192753" w:rsidRPr="00302918" w:rsidRDefault="00192753" w:rsidP="00192753">
            <w:pPr>
              <w:rPr>
                <w:rFonts w:ascii="Times New Roman" w:hAnsi="Times New Roman" w:cs="Times New Roman"/>
              </w:rPr>
            </w:pPr>
            <w:r w:rsidRPr="00302918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1593" w:type="dxa"/>
            <w:shd w:val="clear" w:color="auto" w:fill="auto"/>
          </w:tcPr>
          <w:p w:rsidR="00192753" w:rsidRPr="00302918" w:rsidRDefault="00192753" w:rsidP="00192753">
            <w:pPr>
              <w:rPr>
                <w:rFonts w:ascii="Times New Roman" w:hAnsi="Times New Roman" w:cs="Times New Roman"/>
              </w:rPr>
            </w:pPr>
            <w:r w:rsidRPr="00302918">
              <w:rPr>
                <w:rFonts w:ascii="Times New Roman" w:hAnsi="Times New Roman" w:cs="Times New Roman"/>
              </w:rPr>
              <w:t>Rebalans  Plana 2025.</w:t>
            </w:r>
          </w:p>
        </w:tc>
        <w:tc>
          <w:tcPr>
            <w:tcW w:w="1242" w:type="dxa"/>
            <w:shd w:val="clear" w:color="auto" w:fill="auto"/>
          </w:tcPr>
          <w:p w:rsidR="00192753" w:rsidRPr="00302918" w:rsidRDefault="00192753" w:rsidP="00192753">
            <w:pPr>
              <w:rPr>
                <w:rFonts w:ascii="Times New Roman" w:hAnsi="Times New Roman" w:cs="Times New Roman"/>
              </w:rPr>
            </w:pPr>
            <w:r w:rsidRPr="00302918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275" w:type="dxa"/>
            <w:shd w:val="clear" w:color="auto" w:fill="auto"/>
          </w:tcPr>
          <w:p w:rsidR="00192753" w:rsidRPr="00302918" w:rsidRDefault="00192753" w:rsidP="00192753">
            <w:pPr>
              <w:rPr>
                <w:rFonts w:ascii="Times New Roman" w:hAnsi="Times New Roman" w:cs="Times New Roman"/>
              </w:rPr>
            </w:pPr>
            <w:r w:rsidRPr="00302918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276" w:type="dxa"/>
            <w:shd w:val="clear" w:color="auto" w:fill="auto"/>
          </w:tcPr>
          <w:p w:rsidR="00192753" w:rsidRPr="00302918" w:rsidRDefault="00192753" w:rsidP="00192753">
            <w:pPr>
              <w:rPr>
                <w:rFonts w:ascii="Times New Roman" w:hAnsi="Times New Roman" w:cs="Times New Roman"/>
              </w:rPr>
            </w:pPr>
            <w:r w:rsidRPr="00302918">
              <w:rPr>
                <w:rFonts w:ascii="Times New Roman" w:hAnsi="Times New Roman" w:cs="Times New Roman"/>
              </w:rPr>
              <w:t>Plan 2028.</w:t>
            </w:r>
          </w:p>
        </w:tc>
        <w:tc>
          <w:tcPr>
            <w:tcW w:w="1134" w:type="dxa"/>
            <w:shd w:val="clear" w:color="auto" w:fill="auto"/>
          </w:tcPr>
          <w:p w:rsidR="00192753" w:rsidRPr="00302918" w:rsidRDefault="00192753" w:rsidP="00192753">
            <w:pPr>
              <w:rPr>
                <w:rFonts w:ascii="Times New Roman" w:hAnsi="Times New Roman" w:cs="Times New Roman"/>
              </w:rPr>
            </w:pPr>
            <w:r w:rsidRPr="00302918">
              <w:rPr>
                <w:rFonts w:ascii="Times New Roman" w:hAnsi="Times New Roman" w:cs="Times New Roman"/>
              </w:rPr>
              <w:t>Indeks 26/25</w:t>
            </w:r>
          </w:p>
        </w:tc>
      </w:tr>
      <w:tr w:rsidR="00761ED6" w:rsidRPr="009E024C" w:rsidTr="008B08D4">
        <w:tc>
          <w:tcPr>
            <w:tcW w:w="1100" w:type="dxa"/>
            <w:shd w:val="clear" w:color="auto" w:fill="auto"/>
          </w:tcPr>
          <w:p w:rsidR="00761ED6" w:rsidRPr="009E024C" w:rsidRDefault="00761ED6" w:rsidP="008B08D4">
            <w:pPr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T895008</w:t>
            </w:r>
          </w:p>
        </w:tc>
        <w:tc>
          <w:tcPr>
            <w:tcW w:w="1560" w:type="dxa"/>
            <w:shd w:val="clear" w:color="auto" w:fill="auto"/>
          </w:tcPr>
          <w:p w:rsidR="00761ED6" w:rsidRPr="009E024C" w:rsidRDefault="00192753" w:rsidP="00192753">
            <w:pPr>
              <w:spacing w:before="12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93" w:type="dxa"/>
            <w:shd w:val="clear" w:color="auto" w:fill="auto"/>
          </w:tcPr>
          <w:p w:rsidR="00761ED6" w:rsidRPr="009E024C" w:rsidRDefault="00C728AA" w:rsidP="008B08D4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1.170.127</w:t>
            </w:r>
          </w:p>
        </w:tc>
        <w:tc>
          <w:tcPr>
            <w:tcW w:w="1242" w:type="dxa"/>
            <w:shd w:val="clear" w:color="auto" w:fill="auto"/>
          </w:tcPr>
          <w:p w:rsidR="00761ED6" w:rsidRPr="009E024C" w:rsidRDefault="008959A0" w:rsidP="008B08D4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528.034</w:t>
            </w:r>
          </w:p>
        </w:tc>
        <w:tc>
          <w:tcPr>
            <w:tcW w:w="1275" w:type="dxa"/>
            <w:shd w:val="clear" w:color="auto" w:fill="auto"/>
          </w:tcPr>
          <w:p w:rsidR="00761ED6" w:rsidRPr="009E024C" w:rsidRDefault="00761ED6" w:rsidP="008B08D4">
            <w:pPr>
              <w:spacing w:before="120"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761ED6" w:rsidRPr="009E024C" w:rsidRDefault="00761ED6" w:rsidP="008B08D4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761ED6" w:rsidRPr="009E024C" w:rsidRDefault="00F953F8" w:rsidP="008B08D4">
            <w:pPr>
              <w:spacing w:before="120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45,13</w:t>
            </w:r>
          </w:p>
        </w:tc>
      </w:tr>
    </w:tbl>
    <w:p w:rsidR="00761ED6" w:rsidRDefault="00761ED6" w:rsidP="00761ED6">
      <w:pPr>
        <w:spacing w:after="24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1ED6" w:rsidRDefault="00761ED6" w:rsidP="00761ED6">
      <w:pPr>
        <w:spacing w:after="24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Prikaz i obrazloženje izračuna financijskih sredstava</w:t>
      </w:r>
    </w:p>
    <w:p w:rsidR="00FD485C" w:rsidRPr="00FD485C" w:rsidRDefault="00FD485C" w:rsidP="00C847F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Ugovora o dodjeli bespovratnih sredstava za projekte koji se financiraju iz Mehanizma za oporavak i otpornost prema Pozivu na dodjelu bespovratnih sredstava za ciljana znanstvena istraživanja</w:t>
      </w:r>
      <w:r w:rsidR="00C847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</w:t>
      </w:r>
      <w:r w:rsidR="00BE4C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 se</w:t>
      </w:r>
      <w:r w:rsidR="00C847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projekt pod nazivom "Formiranje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biobaze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analiza uzoraka očne vodice/seruma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Ramanovom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spektroskopijom i plinskom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kromatografijom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kod </w:t>
      </w:r>
      <w:r w:rsidR="00CD4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vodećih očnih bolesti"</w:t>
      </w: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847F9" w:rsidRPr="00FD485C" w:rsidRDefault="00C847F9" w:rsidP="00C847F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projekta</w:t>
      </w: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istražiti učinkovitost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Ramanove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spektroskopije i plinskog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kromatografa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detekciji i identifikaciji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biomarkera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glaukoma,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pseudoeksfolijativnog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sindroma (PEX sindrom), senilne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makularne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degeneracije i dijabetičke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retinopatije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svrhu ostvarivanja inovacijskih dijagnostičkih mogućnosti za rano prepoznavanje i praćenje navedenih očnih bolesti. </w:t>
      </w:r>
    </w:p>
    <w:p w:rsidR="00C847F9" w:rsidRDefault="00C847F9" w:rsidP="00C847F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Otkrivanje i implementacija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biomarkera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rezultirati uspostavljanjem nove laboratorijske dijagnostičke metode (u budućoj fazi razvoja) za ranu detekciju istraživanih bolesti i pojedinih st</w:t>
      </w:r>
      <w:r w:rsidR="00364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dija bolesti, koja bi bila financijski pristupačna, široke dostupnosti, minimalno invazivna i vremenski efikasna.</w:t>
      </w:r>
    </w:p>
    <w:p w:rsidR="00FD485C" w:rsidRPr="00FD485C" w:rsidRDefault="00FD485C" w:rsidP="00C847F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 tijelo za navedeni projekt je Ministarstvo znanosti, obrazovanja i mladih, provedbeno tijelo je Hrvatska zaklada za znanost, a K</w:t>
      </w:r>
      <w:r w:rsidR="00364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linički bolnički centar </w:t>
      </w: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Sestre milosrdnice je korisnik, dok je partner u projektu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Sample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Control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D485C" w:rsidRPr="00FD485C" w:rsidRDefault="00FD485C" w:rsidP="00C847F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Vrijeme trajanja projekta je od 01.01.2024. godine do 30.06.2026. godine.</w:t>
      </w:r>
    </w:p>
    <w:p w:rsidR="00FD485C" w:rsidRPr="00FD485C" w:rsidRDefault="00FD485C" w:rsidP="00C847F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Ukupna vrijednost projekta je 1.907.408,77 eura, ukupni prihvatljivi troškovi su 1.657.408,77 eura, a bespovratna sredstva 1.470.688,92 eura.</w:t>
      </w:r>
    </w:p>
    <w:p w:rsidR="00622E5E" w:rsidRPr="00FD485C" w:rsidRDefault="00C847F9" w:rsidP="0062168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Za 202</w:t>
      </w:r>
      <w:r w:rsidR="005902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</w:t>
      </w:r>
      <w:r w:rsidRPr="00C84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 izvoru financir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</w:t>
      </w:r>
      <w:r w:rsidRPr="00C84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nja 581</w:t>
      </w:r>
      <w:r w:rsidR="005902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00</w:t>
      </w:r>
      <w:r w:rsidRPr="00C84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Mehanizam za oporavak i otpornost</w:t>
      </w:r>
      <w:r w:rsidR="00BB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5902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</w:t>
      </w:r>
      <w:r w:rsidR="00BB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5902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bespovratna sredstva</w:t>
      </w:r>
      <w:r w:rsidR="00BB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5902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</w:t>
      </w:r>
      <w:r w:rsidR="00BB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5902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raspoloživ predujam ili unaprijed naplaćeni prihod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planiran je iznos od </w:t>
      </w:r>
      <w:r w:rsidR="005902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528.034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od čega se </w:t>
      </w:r>
      <w:r w:rsidR="005902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310.711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odnosi na sredstva koja ćemo doznačiti partneru u projektu, a ostali dio na medicinsku opremu koju je potrebno nabaviti, na materijalne rashode potrebne za provođenje istraživanja, te </w:t>
      </w:r>
      <w:r w:rsidR="006216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materijalne rashode kao što su intelektualne i osobne usluge, službena putovanja, stručna usavršavanja i slično.</w:t>
      </w:r>
      <w:r w:rsidR="00622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761ED6" w:rsidRPr="00C8117B" w:rsidRDefault="00761ED6" w:rsidP="00761ED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11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rezultata</w:t>
      </w:r>
    </w:p>
    <w:p w:rsidR="00761ED6" w:rsidRPr="00C8117B" w:rsidRDefault="00761ED6" w:rsidP="00761ED6">
      <w:pPr>
        <w:spacing w:after="0" w:line="240" w:lineRule="auto"/>
        <w:ind w:left="709"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739"/>
        <w:gridCol w:w="1070"/>
        <w:gridCol w:w="1122"/>
        <w:gridCol w:w="993"/>
        <w:gridCol w:w="1134"/>
        <w:gridCol w:w="1093"/>
        <w:gridCol w:w="1316"/>
      </w:tblGrid>
      <w:tr w:rsidR="00761ED6" w:rsidRPr="00C8117B" w:rsidTr="008B08D4">
        <w:trPr>
          <w:trHeight w:val="684"/>
        </w:trPr>
        <w:tc>
          <w:tcPr>
            <w:tcW w:w="1172" w:type="dxa"/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739" w:type="dxa"/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070" w:type="dxa"/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left="-108"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22" w:type="dxa"/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Polazna vrijednost</w:t>
            </w:r>
          </w:p>
          <w:p w:rsidR="00761ED6" w:rsidRPr="00C8117B" w:rsidRDefault="00761ED6" w:rsidP="008B08D4">
            <w:pPr>
              <w:spacing w:after="0" w:line="240" w:lineRule="auto"/>
              <w:ind w:left="-175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34" w:type="dxa"/>
            <w:shd w:val="clear" w:color="auto" w:fill="auto"/>
          </w:tcPr>
          <w:p w:rsidR="00761ED6" w:rsidRPr="00C8117B" w:rsidRDefault="00761ED6" w:rsidP="000F4DFD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1093" w:type="dxa"/>
            <w:shd w:val="clear" w:color="auto" w:fill="auto"/>
          </w:tcPr>
          <w:p w:rsidR="00761ED6" w:rsidRPr="00C8117B" w:rsidRDefault="00761ED6" w:rsidP="000F4D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1316" w:type="dxa"/>
            <w:shd w:val="clear" w:color="auto" w:fill="auto"/>
          </w:tcPr>
          <w:p w:rsidR="00761ED6" w:rsidRPr="00C8117B" w:rsidRDefault="00761ED6" w:rsidP="000F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(202</w:t>
            </w:r>
            <w:r w:rsidR="000F4DFD"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.)</w:t>
            </w:r>
          </w:p>
        </w:tc>
      </w:tr>
      <w:tr w:rsidR="00761ED6" w:rsidTr="008B0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2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lang w:eastAsia="hr-HR"/>
              </w:rPr>
              <w:t>Broj uzetih uzoraka očne vodice/seruma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Prikupljanje uzoraka očne vodice/seruma od pacijenata je bazična aktivnost na kojoj se temelji analiza uzoraka i interpretacija rezultata. Iz toga proizlaze sve ostale aktivnosti projekta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Popisna lista uzetih uzoraka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C8117B" w:rsidRDefault="00761ED6" w:rsidP="008B08D4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7B2AAD" w:rsidRDefault="00761ED6" w:rsidP="008B08D4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81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D6" w:rsidRPr="007B2AAD" w:rsidRDefault="00761ED6" w:rsidP="008B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9E024C" w:rsidRDefault="009E024C" w:rsidP="00761ED6">
      <w:pPr>
        <w:spacing w:before="120"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205BA" w:rsidRDefault="004205BA" w:rsidP="00761ED6">
      <w:pPr>
        <w:spacing w:before="120"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05BA" w:rsidRPr="009E024C" w:rsidRDefault="004205BA" w:rsidP="00761ED6">
      <w:pPr>
        <w:spacing w:before="120"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4D61" w:rsidRDefault="00C646E1" w:rsidP="00C646E1">
      <w:pPr>
        <w:spacing w:before="120" w:after="0" w:line="240" w:lineRule="auto"/>
        <w:ind w:left="180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E024C"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9E024C"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BC SESTRE MILOSRDNICE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E024C"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9D3C75" w:rsidRDefault="009E024C" w:rsidP="00C24D61">
      <w:pPr>
        <w:spacing w:before="120" w:after="0" w:line="240" w:lineRule="auto"/>
        <w:ind w:left="4428" w:right="-142" w:firstLine="528"/>
        <w:jc w:val="both"/>
      </w:pPr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Prof.dr.sc. Davor </w:t>
      </w:r>
      <w:proofErr w:type="spellStart"/>
      <w:r w:rsidRPr="009E024C">
        <w:rPr>
          <w:rFonts w:ascii="Times New Roman" w:eastAsia="Times New Roman" w:hAnsi="Times New Roman" w:cs="Times New Roman"/>
          <w:sz w:val="24"/>
          <w:szCs w:val="24"/>
          <w:lang w:eastAsia="hr-HR"/>
        </w:rPr>
        <w:t>Vagić</w:t>
      </w:r>
      <w:proofErr w:type="spellEnd"/>
      <w:r w:rsidR="00C64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C646E1">
        <w:rPr>
          <w:rFonts w:ascii="Times New Roman" w:eastAsia="Times New Roman" w:hAnsi="Times New Roman" w:cs="Times New Roman"/>
          <w:sz w:val="24"/>
          <w:szCs w:val="24"/>
          <w:lang w:eastAsia="hr-HR"/>
        </w:rPr>
        <w:t>dr.med</w:t>
      </w:r>
      <w:proofErr w:type="spellEnd"/>
      <w:r w:rsidR="00C646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9D3C75" w:rsidSect="0067031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588"/>
    <w:multiLevelType w:val="hybridMultilevel"/>
    <w:tmpl w:val="F6EE9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3D59"/>
    <w:multiLevelType w:val="hybridMultilevel"/>
    <w:tmpl w:val="606097A8"/>
    <w:lvl w:ilvl="0" w:tplc="80527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234CA3"/>
    <w:multiLevelType w:val="hybridMultilevel"/>
    <w:tmpl w:val="F2E49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4FB4"/>
    <w:multiLevelType w:val="hybridMultilevel"/>
    <w:tmpl w:val="AC104E3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E3C22"/>
    <w:multiLevelType w:val="hybridMultilevel"/>
    <w:tmpl w:val="48FC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E4FAF"/>
    <w:multiLevelType w:val="hybridMultilevel"/>
    <w:tmpl w:val="A17CB1C8"/>
    <w:lvl w:ilvl="0" w:tplc="47CE2D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65B32D8"/>
    <w:multiLevelType w:val="hybridMultilevel"/>
    <w:tmpl w:val="46687F8E"/>
    <w:lvl w:ilvl="0" w:tplc="99A4AF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882C41"/>
    <w:multiLevelType w:val="hybridMultilevel"/>
    <w:tmpl w:val="FEF0D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0B"/>
    <w:rsid w:val="000016C6"/>
    <w:rsid w:val="00002A8B"/>
    <w:rsid w:val="000179F5"/>
    <w:rsid w:val="00020562"/>
    <w:rsid w:val="00032F6E"/>
    <w:rsid w:val="0006263E"/>
    <w:rsid w:val="00064C96"/>
    <w:rsid w:val="00065FEE"/>
    <w:rsid w:val="00066739"/>
    <w:rsid w:val="00067549"/>
    <w:rsid w:val="00076FFD"/>
    <w:rsid w:val="00082357"/>
    <w:rsid w:val="0009225B"/>
    <w:rsid w:val="0009521D"/>
    <w:rsid w:val="000A09B8"/>
    <w:rsid w:val="000A0F1D"/>
    <w:rsid w:val="000A7E64"/>
    <w:rsid w:val="000C591D"/>
    <w:rsid w:val="000C5CC1"/>
    <w:rsid w:val="000D0492"/>
    <w:rsid w:val="000D080E"/>
    <w:rsid w:val="000D2531"/>
    <w:rsid w:val="000E329C"/>
    <w:rsid w:val="000E33BB"/>
    <w:rsid w:val="000E38AA"/>
    <w:rsid w:val="000F3A43"/>
    <w:rsid w:val="000F4DFD"/>
    <w:rsid w:val="000F710D"/>
    <w:rsid w:val="00101573"/>
    <w:rsid w:val="0010329C"/>
    <w:rsid w:val="00110311"/>
    <w:rsid w:val="00111A37"/>
    <w:rsid w:val="001131A8"/>
    <w:rsid w:val="00131FA8"/>
    <w:rsid w:val="00134F54"/>
    <w:rsid w:val="00140519"/>
    <w:rsid w:val="001457F0"/>
    <w:rsid w:val="001545DE"/>
    <w:rsid w:val="00157BB5"/>
    <w:rsid w:val="00163DD9"/>
    <w:rsid w:val="00165767"/>
    <w:rsid w:val="001770B7"/>
    <w:rsid w:val="00183C44"/>
    <w:rsid w:val="00192753"/>
    <w:rsid w:val="00194E15"/>
    <w:rsid w:val="0019604A"/>
    <w:rsid w:val="00196FC3"/>
    <w:rsid w:val="001B0AAB"/>
    <w:rsid w:val="001B7301"/>
    <w:rsid w:val="001D02CF"/>
    <w:rsid w:val="001E036B"/>
    <w:rsid w:val="001E4E3B"/>
    <w:rsid w:val="001F4642"/>
    <w:rsid w:val="001F5021"/>
    <w:rsid w:val="00201D86"/>
    <w:rsid w:val="00201E36"/>
    <w:rsid w:val="00203417"/>
    <w:rsid w:val="0020616D"/>
    <w:rsid w:val="00207E3F"/>
    <w:rsid w:val="00210D19"/>
    <w:rsid w:val="0022588C"/>
    <w:rsid w:val="002323B9"/>
    <w:rsid w:val="002349D7"/>
    <w:rsid w:val="00247626"/>
    <w:rsid w:val="00254251"/>
    <w:rsid w:val="00264108"/>
    <w:rsid w:val="00267CCD"/>
    <w:rsid w:val="00275B3D"/>
    <w:rsid w:val="002805C5"/>
    <w:rsid w:val="00283065"/>
    <w:rsid w:val="0028338E"/>
    <w:rsid w:val="00287A31"/>
    <w:rsid w:val="00287C1A"/>
    <w:rsid w:val="0029584F"/>
    <w:rsid w:val="002A0CFA"/>
    <w:rsid w:val="002A236D"/>
    <w:rsid w:val="002B071D"/>
    <w:rsid w:val="002B3ADA"/>
    <w:rsid w:val="002B4484"/>
    <w:rsid w:val="002B61C6"/>
    <w:rsid w:val="002B7E49"/>
    <w:rsid w:val="002C1EF0"/>
    <w:rsid w:val="002C57D6"/>
    <w:rsid w:val="002D755E"/>
    <w:rsid w:val="002E42B1"/>
    <w:rsid w:val="002E4685"/>
    <w:rsid w:val="002E4F82"/>
    <w:rsid w:val="002E56A1"/>
    <w:rsid w:val="00301E6E"/>
    <w:rsid w:val="00302918"/>
    <w:rsid w:val="00303B8F"/>
    <w:rsid w:val="00307437"/>
    <w:rsid w:val="00313BBD"/>
    <w:rsid w:val="00324804"/>
    <w:rsid w:val="00325024"/>
    <w:rsid w:val="00326096"/>
    <w:rsid w:val="00326EFF"/>
    <w:rsid w:val="00337685"/>
    <w:rsid w:val="00342CBA"/>
    <w:rsid w:val="003440CD"/>
    <w:rsid w:val="00346596"/>
    <w:rsid w:val="00347AF4"/>
    <w:rsid w:val="00350D58"/>
    <w:rsid w:val="00357E9D"/>
    <w:rsid w:val="00363D63"/>
    <w:rsid w:val="003643CC"/>
    <w:rsid w:val="00366B19"/>
    <w:rsid w:val="00384942"/>
    <w:rsid w:val="00387D81"/>
    <w:rsid w:val="00392331"/>
    <w:rsid w:val="003A271B"/>
    <w:rsid w:val="003A3D4E"/>
    <w:rsid w:val="003C0EDD"/>
    <w:rsid w:val="003D49FF"/>
    <w:rsid w:val="003D5F69"/>
    <w:rsid w:val="003E64D9"/>
    <w:rsid w:val="003F1617"/>
    <w:rsid w:val="003F7E39"/>
    <w:rsid w:val="00400619"/>
    <w:rsid w:val="00402D5F"/>
    <w:rsid w:val="004050BC"/>
    <w:rsid w:val="0041209A"/>
    <w:rsid w:val="00413072"/>
    <w:rsid w:val="00414E2B"/>
    <w:rsid w:val="00417D4F"/>
    <w:rsid w:val="004205BA"/>
    <w:rsid w:val="0042271A"/>
    <w:rsid w:val="004235E7"/>
    <w:rsid w:val="00426654"/>
    <w:rsid w:val="00450E80"/>
    <w:rsid w:val="00457850"/>
    <w:rsid w:val="004578D9"/>
    <w:rsid w:val="00470E9F"/>
    <w:rsid w:val="00475125"/>
    <w:rsid w:val="00480102"/>
    <w:rsid w:val="0048029A"/>
    <w:rsid w:val="00491B23"/>
    <w:rsid w:val="004A48F1"/>
    <w:rsid w:val="004B32DF"/>
    <w:rsid w:val="004B4009"/>
    <w:rsid w:val="004B4F00"/>
    <w:rsid w:val="004B55B2"/>
    <w:rsid w:val="004B7835"/>
    <w:rsid w:val="004C2B89"/>
    <w:rsid w:val="004C61BE"/>
    <w:rsid w:val="004C7E0D"/>
    <w:rsid w:val="004E1079"/>
    <w:rsid w:val="004E165E"/>
    <w:rsid w:val="004E4671"/>
    <w:rsid w:val="004F73CC"/>
    <w:rsid w:val="005017C4"/>
    <w:rsid w:val="005026BB"/>
    <w:rsid w:val="005078F0"/>
    <w:rsid w:val="00511E21"/>
    <w:rsid w:val="005138F8"/>
    <w:rsid w:val="00520E8F"/>
    <w:rsid w:val="00522191"/>
    <w:rsid w:val="00524EBD"/>
    <w:rsid w:val="005419C5"/>
    <w:rsid w:val="0054361B"/>
    <w:rsid w:val="00552AD8"/>
    <w:rsid w:val="005555E4"/>
    <w:rsid w:val="005803B9"/>
    <w:rsid w:val="0058580E"/>
    <w:rsid w:val="00585DEC"/>
    <w:rsid w:val="005902D1"/>
    <w:rsid w:val="00591482"/>
    <w:rsid w:val="00591E6E"/>
    <w:rsid w:val="00593C27"/>
    <w:rsid w:val="0059771E"/>
    <w:rsid w:val="005A45CB"/>
    <w:rsid w:val="005A52D9"/>
    <w:rsid w:val="005A7357"/>
    <w:rsid w:val="005B3837"/>
    <w:rsid w:val="005C62D5"/>
    <w:rsid w:val="005C6DFB"/>
    <w:rsid w:val="005C7F81"/>
    <w:rsid w:val="005D0B9F"/>
    <w:rsid w:val="005D2062"/>
    <w:rsid w:val="005F0A5E"/>
    <w:rsid w:val="0060413C"/>
    <w:rsid w:val="00606871"/>
    <w:rsid w:val="006118B2"/>
    <w:rsid w:val="006149C4"/>
    <w:rsid w:val="00621689"/>
    <w:rsid w:val="00622E5E"/>
    <w:rsid w:val="0062436A"/>
    <w:rsid w:val="00625C61"/>
    <w:rsid w:val="00627CA5"/>
    <w:rsid w:val="00627EA8"/>
    <w:rsid w:val="0064417E"/>
    <w:rsid w:val="006443F6"/>
    <w:rsid w:val="00645BDC"/>
    <w:rsid w:val="00646DEE"/>
    <w:rsid w:val="0065200D"/>
    <w:rsid w:val="00652972"/>
    <w:rsid w:val="006553A0"/>
    <w:rsid w:val="0066099E"/>
    <w:rsid w:val="0066570D"/>
    <w:rsid w:val="0066692D"/>
    <w:rsid w:val="0067031D"/>
    <w:rsid w:val="006747AF"/>
    <w:rsid w:val="00674E36"/>
    <w:rsid w:val="00690F6D"/>
    <w:rsid w:val="006965EA"/>
    <w:rsid w:val="006A0E5F"/>
    <w:rsid w:val="006A55B9"/>
    <w:rsid w:val="006B04D5"/>
    <w:rsid w:val="006C0ADE"/>
    <w:rsid w:val="006C42A8"/>
    <w:rsid w:val="006D4B15"/>
    <w:rsid w:val="006E55D8"/>
    <w:rsid w:val="006E5D3A"/>
    <w:rsid w:val="006E695C"/>
    <w:rsid w:val="006E7BEA"/>
    <w:rsid w:val="006F5FD1"/>
    <w:rsid w:val="0070437A"/>
    <w:rsid w:val="00707522"/>
    <w:rsid w:val="00713EB1"/>
    <w:rsid w:val="00727968"/>
    <w:rsid w:val="00737CCD"/>
    <w:rsid w:val="0074336F"/>
    <w:rsid w:val="007464FB"/>
    <w:rsid w:val="00751C58"/>
    <w:rsid w:val="0075445C"/>
    <w:rsid w:val="00757E62"/>
    <w:rsid w:val="00761ED6"/>
    <w:rsid w:val="00773507"/>
    <w:rsid w:val="007759FF"/>
    <w:rsid w:val="0077640E"/>
    <w:rsid w:val="00780E1F"/>
    <w:rsid w:val="00781DFF"/>
    <w:rsid w:val="00787926"/>
    <w:rsid w:val="007879F7"/>
    <w:rsid w:val="007A0604"/>
    <w:rsid w:val="007A4DDE"/>
    <w:rsid w:val="007B2073"/>
    <w:rsid w:val="007B2AAD"/>
    <w:rsid w:val="007B50EE"/>
    <w:rsid w:val="007B6895"/>
    <w:rsid w:val="007B73E4"/>
    <w:rsid w:val="007B7692"/>
    <w:rsid w:val="007C6E64"/>
    <w:rsid w:val="007D23DD"/>
    <w:rsid w:val="007D2525"/>
    <w:rsid w:val="007D5087"/>
    <w:rsid w:val="007D7426"/>
    <w:rsid w:val="007E228C"/>
    <w:rsid w:val="007E2454"/>
    <w:rsid w:val="007E5A4B"/>
    <w:rsid w:val="007E73A6"/>
    <w:rsid w:val="007F16E7"/>
    <w:rsid w:val="00811E70"/>
    <w:rsid w:val="00822A48"/>
    <w:rsid w:val="008238B0"/>
    <w:rsid w:val="00853AC5"/>
    <w:rsid w:val="00853F1F"/>
    <w:rsid w:val="00866305"/>
    <w:rsid w:val="0087024A"/>
    <w:rsid w:val="008722E8"/>
    <w:rsid w:val="00874AF8"/>
    <w:rsid w:val="00887320"/>
    <w:rsid w:val="00890888"/>
    <w:rsid w:val="008959A0"/>
    <w:rsid w:val="008970C4"/>
    <w:rsid w:val="0089781C"/>
    <w:rsid w:val="008A0019"/>
    <w:rsid w:val="008A2D7E"/>
    <w:rsid w:val="008B08D4"/>
    <w:rsid w:val="008B7057"/>
    <w:rsid w:val="008C1FCE"/>
    <w:rsid w:val="008C2660"/>
    <w:rsid w:val="008C55BF"/>
    <w:rsid w:val="008C5D88"/>
    <w:rsid w:val="008D115F"/>
    <w:rsid w:val="008D1E70"/>
    <w:rsid w:val="008D1F60"/>
    <w:rsid w:val="008D2EB7"/>
    <w:rsid w:val="008D3D2B"/>
    <w:rsid w:val="008D409E"/>
    <w:rsid w:val="008D77E9"/>
    <w:rsid w:val="008E28B2"/>
    <w:rsid w:val="008E3300"/>
    <w:rsid w:val="008F277B"/>
    <w:rsid w:val="00903237"/>
    <w:rsid w:val="00904E36"/>
    <w:rsid w:val="00912D7C"/>
    <w:rsid w:val="00914CF8"/>
    <w:rsid w:val="00915E87"/>
    <w:rsid w:val="00925277"/>
    <w:rsid w:val="00954BEE"/>
    <w:rsid w:val="0096160A"/>
    <w:rsid w:val="00990A3E"/>
    <w:rsid w:val="00990A9D"/>
    <w:rsid w:val="009A0D2F"/>
    <w:rsid w:val="009A4295"/>
    <w:rsid w:val="009A6778"/>
    <w:rsid w:val="009B578B"/>
    <w:rsid w:val="009B77C8"/>
    <w:rsid w:val="009C0A89"/>
    <w:rsid w:val="009C298A"/>
    <w:rsid w:val="009C3454"/>
    <w:rsid w:val="009C614C"/>
    <w:rsid w:val="009D3C75"/>
    <w:rsid w:val="009D413D"/>
    <w:rsid w:val="009D6BEE"/>
    <w:rsid w:val="009E024C"/>
    <w:rsid w:val="009E557C"/>
    <w:rsid w:val="009E7BA4"/>
    <w:rsid w:val="009F058A"/>
    <w:rsid w:val="00A16D4D"/>
    <w:rsid w:val="00A215D4"/>
    <w:rsid w:val="00A2427F"/>
    <w:rsid w:val="00A26795"/>
    <w:rsid w:val="00A33884"/>
    <w:rsid w:val="00A35135"/>
    <w:rsid w:val="00A363FC"/>
    <w:rsid w:val="00A53AC9"/>
    <w:rsid w:val="00A61E46"/>
    <w:rsid w:val="00A62029"/>
    <w:rsid w:val="00A654C1"/>
    <w:rsid w:val="00A6698B"/>
    <w:rsid w:val="00A67ABE"/>
    <w:rsid w:val="00A70B5B"/>
    <w:rsid w:val="00A714F4"/>
    <w:rsid w:val="00A74920"/>
    <w:rsid w:val="00A75A7B"/>
    <w:rsid w:val="00A75F6F"/>
    <w:rsid w:val="00A77817"/>
    <w:rsid w:val="00A8298E"/>
    <w:rsid w:val="00A91AA6"/>
    <w:rsid w:val="00AA3250"/>
    <w:rsid w:val="00AA4028"/>
    <w:rsid w:val="00AB5C2D"/>
    <w:rsid w:val="00AB7A82"/>
    <w:rsid w:val="00AC4339"/>
    <w:rsid w:val="00AC711A"/>
    <w:rsid w:val="00AC785D"/>
    <w:rsid w:val="00AD0B3F"/>
    <w:rsid w:val="00AD67A6"/>
    <w:rsid w:val="00AE0A4F"/>
    <w:rsid w:val="00AE5C91"/>
    <w:rsid w:val="00B145E3"/>
    <w:rsid w:val="00B20D48"/>
    <w:rsid w:val="00B26356"/>
    <w:rsid w:val="00B264BA"/>
    <w:rsid w:val="00B27E21"/>
    <w:rsid w:val="00B30635"/>
    <w:rsid w:val="00B46C0D"/>
    <w:rsid w:val="00B475A5"/>
    <w:rsid w:val="00B50C7E"/>
    <w:rsid w:val="00B51C62"/>
    <w:rsid w:val="00B53FA2"/>
    <w:rsid w:val="00B6021C"/>
    <w:rsid w:val="00B6501B"/>
    <w:rsid w:val="00B67BF2"/>
    <w:rsid w:val="00B73962"/>
    <w:rsid w:val="00B817A9"/>
    <w:rsid w:val="00B85525"/>
    <w:rsid w:val="00B856C3"/>
    <w:rsid w:val="00B85D05"/>
    <w:rsid w:val="00B85E00"/>
    <w:rsid w:val="00B935A3"/>
    <w:rsid w:val="00BA4290"/>
    <w:rsid w:val="00BB755B"/>
    <w:rsid w:val="00BD002C"/>
    <w:rsid w:val="00BD5266"/>
    <w:rsid w:val="00BD66AF"/>
    <w:rsid w:val="00BD6E8A"/>
    <w:rsid w:val="00BE1862"/>
    <w:rsid w:val="00BE4CCE"/>
    <w:rsid w:val="00BE547F"/>
    <w:rsid w:val="00BE74CA"/>
    <w:rsid w:val="00BF108A"/>
    <w:rsid w:val="00BF1A88"/>
    <w:rsid w:val="00BF62DD"/>
    <w:rsid w:val="00C01225"/>
    <w:rsid w:val="00C01DC1"/>
    <w:rsid w:val="00C02367"/>
    <w:rsid w:val="00C056C1"/>
    <w:rsid w:val="00C05B95"/>
    <w:rsid w:val="00C05B9B"/>
    <w:rsid w:val="00C0760C"/>
    <w:rsid w:val="00C07CBE"/>
    <w:rsid w:val="00C101CC"/>
    <w:rsid w:val="00C13464"/>
    <w:rsid w:val="00C16E6C"/>
    <w:rsid w:val="00C21DB7"/>
    <w:rsid w:val="00C21FC2"/>
    <w:rsid w:val="00C23E5A"/>
    <w:rsid w:val="00C24D61"/>
    <w:rsid w:val="00C26750"/>
    <w:rsid w:val="00C315FF"/>
    <w:rsid w:val="00C34129"/>
    <w:rsid w:val="00C34A81"/>
    <w:rsid w:val="00C359E7"/>
    <w:rsid w:val="00C4277B"/>
    <w:rsid w:val="00C50F81"/>
    <w:rsid w:val="00C51D92"/>
    <w:rsid w:val="00C60F72"/>
    <w:rsid w:val="00C646E1"/>
    <w:rsid w:val="00C66DA7"/>
    <w:rsid w:val="00C67928"/>
    <w:rsid w:val="00C728AA"/>
    <w:rsid w:val="00C75C75"/>
    <w:rsid w:val="00C8117B"/>
    <w:rsid w:val="00C847F9"/>
    <w:rsid w:val="00C86A06"/>
    <w:rsid w:val="00C927F4"/>
    <w:rsid w:val="00C945B1"/>
    <w:rsid w:val="00C9506F"/>
    <w:rsid w:val="00CA6C5A"/>
    <w:rsid w:val="00CB22C6"/>
    <w:rsid w:val="00CB2915"/>
    <w:rsid w:val="00CB39D6"/>
    <w:rsid w:val="00CC0882"/>
    <w:rsid w:val="00CC3A22"/>
    <w:rsid w:val="00CC4127"/>
    <w:rsid w:val="00CD4E5C"/>
    <w:rsid w:val="00CE1994"/>
    <w:rsid w:val="00CE4442"/>
    <w:rsid w:val="00CE7609"/>
    <w:rsid w:val="00CF55C8"/>
    <w:rsid w:val="00CF6052"/>
    <w:rsid w:val="00CF6845"/>
    <w:rsid w:val="00D36E5C"/>
    <w:rsid w:val="00D538AE"/>
    <w:rsid w:val="00D548DF"/>
    <w:rsid w:val="00D6066F"/>
    <w:rsid w:val="00D60B65"/>
    <w:rsid w:val="00D626DE"/>
    <w:rsid w:val="00D655D2"/>
    <w:rsid w:val="00D65766"/>
    <w:rsid w:val="00D711FD"/>
    <w:rsid w:val="00D725F5"/>
    <w:rsid w:val="00D750D7"/>
    <w:rsid w:val="00D77288"/>
    <w:rsid w:val="00D77F58"/>
    <w:rsid w:val="00D953AB"/>
    <w:rsid w:val="00DA02F2"/>
    <w:rsid w:val="00DA1363"/>
    <w:rsid w:val="00DC4B16"/>
    <w:rsid w:val="00DC5F20"/>
    <w:rsid w:val="00DD2278"/>
    <w:rsid w:val="00DD4826"/>
    <w:rsid w:val="00DE35FB"/>
    <w:rsid w:val="00DE796F"/>
    <w:rsid w:val="00DF1657"/>
    <w:rsid w:val="00E0158E"/>
    <w:rsid w:val="00E06302"/>
    <w:rsid w:val="00E06B91"/>
    <w:rsid w:val="00E16FC7"/>
    <w:rsid w:val="00E246D1"/>
    <w:rsid w:val="00E3447A"/>
    <w:rsid w:val="00E35315"/>
    <w:rsid w:val="00E36A86"/>
    <w:rsid w:val="00E40E7F"/>
    <w:rsid w:val="00E44FE4"/>
    <w:rsid w:val="00E45856"/>
    <w:rsid w:val="00E46523"/>
    <w:rsid w:val="00E55142"/>
    <w:rsid w:val="00E60FBB"/>
    <w:rsid w:val="00E615DA"/>
    <w:rsid w:val="00E7577F"/>
    <w:rsid w:val="00E85A0B"/>
    <w:rsid w:val="00E85B02"/>
    <w:rsid w:val="00E86146"/>
    <w:rsid w:val="00E92553"/>
    <w:rsid w:val="00E94128"/>
    <w:rsid w:val="00E94D91"/>
    <w:rsid w:val="00E96F3B"/>
    <w:rsid w:val="00EA1379"/>
    <w:rsid w:val="00EA17FB"/>
    <w:rsid w:val="00EA1FDE"/>
    <w:rsid w:val="00EA56D3"/>
    <w:rsid w:val="00EA6803"/>
    <w:rsid w:val="00EB7B73"/>
    <w:rsid w:val="00EE0727"/>
    <w:rsid w:val="00EE0DC9"/>
    <w:rsid w:val="00EE31AC"/>
    <w:rsid w:val="00EE347A"/>
    <w:rsid w:val="00EE52B8"/>
    <w:rsid w:val="00EE6CE6"/>
    <w:rsid w:val="00EF3497"/>
    <w:rsid w:val="00F01472"/>
    <w:rsid w:val="00F01C78"/>
    <w:rsid w:val="00F061F2"/>
    <w:rsid w:val="00F1389F"/>
    <w:rsid w:val="00F138E6"/>
    <w:rsid w:val="00F14A63"/>
    <w:rsid w:val="00F14BBF"/>
    <w:rsid w:val="00F14C87"/>
    <w:rsid w:val="00F44B70"/>
    <w:rsid w:val="00F50220"/>
    <w:rsid w:val="00F51F15"/>
    <w:rsid w:val="00F57779"/>
    <w:rsid w:val="00F613A7"/>
    <w:rsid w:val="00F617F4"/>
    <w:rsid w:val="00F642C3"/>
    <w:rsid w:val="00F66402"/>
    <w:rsid w:val="00F67463"/>
    <w:rsid w:val="00F70CF9"/>
    <w:rsid w:val="00F768EF"/>
    <w:rsid w:val="00F83345"/>
    <w:rsid w:val="00F8400B"/>
    <w:rsid w:val="00F92A97"/>
    <w:rsid w:val="00F9530E"/>
    <w:rsid w:val="00F953F8"/>
    <w:rsid w:val="00F96136"/>
    <w:rsid w:val="00FA7297"/>
    <w:rsid w:val="00FB5892"/>
    <w:rsid w:val="00FC45D9"/>
    <w:rsid w:val="00FC64B0"/>
    <w:rsid w:val="00FC70AB"/>
    <w:rsid w:val="00FC74CB"/>
    <w:rsid w:val="00FD42DA"/>
    <w:rsid w:val="00FD485C"/>
    <w:rsid w:val="00FD4C45"/>
    <w:rsid w:val="00FD4D3E"/>
    <w:rsid w:val="00FE18B6"/>
    <w:rsid w:val="00FE2366"/>
    <w:rsid w:val="00FE239E"/>
    <w:rsid w:val="00FF1032"/>
    <w:rsid w:val="00FF52CA"/>
    <w:rsid w:val="00FF625E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4143"/>
  <w15:chartTrackingRefBased/>
  <w15:docId w15:val="{C89E3F55-3FCF-412E-A5DC-EC40A19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E024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9E02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DF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E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2F54-FAFC-4C56-8741-0AD7ADF6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9136</TotalTime>
  <Pages>16</Pages>
  <Words>6597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DIMEC JASNA</dc:creator>
  <cp:keywords/>
  <dc:description/>
  <cp:lastModifiedBy>JURILJ TAJANA</cp:lastModifiedBy>
  <cp:revision>39</cp:revision>
  <cp:lastPrinted>2025-11-13T08:54:00Z</cp:lastPrinted>
  <dcterms:created xsi:type="dcterms:W3CDTF">2023-10-09T09:14:00Z</dcterms:created>
  <dcterms:modified xsi:type="dcterms:W3CDTF">2026-01-20T11:39:00Z</dcterms:modified>
</cp:coreProperties>
</file>