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8C50A6" w:rsidRPr="008C50A6" w:rsidRDefault="008C50A6" w:rsidP="008C50A6">
      <w:pPr>
        <w:tabs>
          <w:tab w:val="left" w:pos="9639"/>
        </w:tabs>
        <w:spacing w:before="29"/>
        <w:ind w:left="733" w:right="77"/>
        <w:jc w:val="center"/>
        <w:rPr>
          <w:rFonts w:asciiTheme="minorHAnsi" w:eastAsia="Arial" w:hAnsiTheme="minorHAnsi" w:cstheme="minorHAnsi"/>
          <w:b/>
          <w:sz w:val="36"/>
          <w:szCs w:val="32"/>
          <w:lang w:val="en-AU"/>
        </w:rPr>
      </w:pPr>
      <w:r w:rsidRPr="008C50A6">
        <w:rPr>
          <w:rFonts w:asciiTheme="minorHAnsi" w:eastAsia="Arial" w:hAnsiTheme="minorHAnsi" w:cstheme="minorHAnsi"/>
          <w:b/>
          <w:sz w:val="36"/>
          <w:szCs w:val="32"/>
          <w:lang w:val="en-AU"/>
        </w:rPr>
        <w:t>UPS uređaj snage 70 kVA/ 70 kW za potrebe Klinike za onkologiju KBC Sestre milosrdnice</w:t>
      </w:r>
    </w:p>
    <w:p w:rsidR="001E1602" w:rsidRDefault="001E1602" w:rsidP="00D8498C">
      <w:pPr>
        <w:tabs>
          <w:tab w:val="left" w:pos="9639"/>
        </w:tabs>
        <w:spacing w:before="29"/>
        <w:ind w:left="733" w:right="77"/>
        <w:jc w:val="center"/>
        <w:rPr>
          <w:rFonts w:asciiTheme="minorHAnsi" w:eastAsia="Arial" w:hAnsiTheme="minorHAnsi" w:cstheme="minorHAnsi"/>
          <w:b/>
          <w:sz w:val="28"/>
          <w:szCs w:val="24"/>
          <w:lang w:val="hr-HR"/>
        </w:rPr>
      </w:pPr>
    </w:p>
    <w:p w:rsidR="008C50A6" w:rsidRPr="008E7844" w:rsidRDefault="008C50A6" w:rsidP="00D8498C">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853BFF">
        <w:rPr>
          <w:rFonts w:asciiTheme="minorHAnsi" w:eastAsia="Arial" w:hAnsiTheme="minorHAnsi" w:cstheme="minorHAnsi"/>
          <w:b/>
          <w:sz w:val="28"/>
          <w:szCs w:val="24"/>
          <w:lang w:val="hr-HR"/>
        </w:rPr>
        <w:t>51-3</w:t>
      </w:r>
      <w:r w:rsidR="008C50A6">
        <w:rPr>
          <w:rFonts w:asciiTheme="minorHAnsi" w:eastAsia="Arial" w:hAnsiTheme="minorHAnsi" w:cstheme="minorHAnsi"/>
          <w:b/>
          <w:sz w:val="28"/>
          <w:szCs w:val="24"/>
          <w:lang w:val="hr-HR"/>
        </w:rPr>
        <w:t>9</w:t>
      </w:r>
      <w:r w:rsidR="00853BFF">
        <w:rPr>
          <w:rFonts w:asciiTheme="minorHAnsi" w:eastAsia="Arial" w:hAnsiTheme="minorHAnsi" w:cstheme="minorHAnsi"/>
          <w:b/>
          <w:sz w:val="28"/>
          <w:szCs w:val="24"/>
          <w:lang w:val="hr-HR"/>
        </w:rPr>
        <w:t>/2025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Pr="00756681">
        <w:rPr>
          <w:rFonts w:ascii="Calibri" w:eastAsia="Arial Unicode MS" w:hAnsi="Calibri" w:cs="Calibri"/>
          <w:b/>
          <w:color w:val="000000"/>
          <w:sz w:val="22"/>
          <w:szCs w:val="22"/>
        </w:rPr>
        <w:t>406-01/2</w:t>
      </w:r>
      <w:r w:rsidR="008C50A6">
        <w:rPr>
          <w:rFonts w:ascii="Calibri" w:eastAsia="Arial Unicode MS" w:hAnsi="Calibri" w:cs="Calibri"/>
          <w:b/>
          <w:color w:val="000000"/>
          <w:sz w:val="22"/>
          <w:szCs w:val="22"/>
        </w:rPr>
        <w:t>5-01/082</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8C50A6">
        <w:rPr>
          <w:rFonts w:asciiTheme="minorHAnsi" w:eastAsia="Arial" w:hAnsiTheme="minorHAnsi" w:cstheme="minorHAnsi"/>
          <w:b/>
          <w:sz w:val="22"/>
        </w:rPr>
        <w:t>svibanj</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8C50A6" w:rsidRPr="008C50A6" w:rsidRDefault="008C50A6" w:rsidP="008C50A6">
      <w:pPr>
        <w:tabs>
          <w:tab w:val="left" w:pos="9639"/>
        </w:tabs>
        <w:ind w:left="284" w:right="77"/>
        <w:rPr>
          <w:rFonts w:asciiTheme="minorHAnsi" w:eastAsia="Arial" w:hAnsiTheme="minorHAnsi" w:cstheme="minorHAnsi"/>
          <w:b/>
          <w:sz w:val="24"/>
          <w:szCs w:val="24"/>
          <w:lang w:val="en-AU"/>
        </w:rPr>
      </w:pPr>
      <w:r w:rsidRPr="008C50A6">
        <w:rPr>
          <w:rFonts w:asciiTheme="minorHAnsi" w:eastAsia="Arial" w:hAnsiTheme="minorHAnsi" w:cstheme="minorHAnsi"/>
          <w:b/>
          <w:sz w:val="24"/>
          <w:szCs w:val="24"/>
          <w:lang w:val="en-AU"/>
        </w:rPr>
        <w:t>UPS uređaj snage 70 kVA/ 70 kW za potrebe Klinike za onkologiju KBC Sestre milosrdnice</w:t>
      </w:r>
    </w:p>
    <w:p w:rsidR="00AD6FA3" w:rsidRPr="00185C91" w:rsidRDefault="008C50A6" w:rsidP="0010403B">
      <w:pPr>
        <w:tabs>
          <w:tab w:val="left" w:pos="9639"/>
        </w:tabs>
        <w:ind w:left="284" w:right="77"/>
        <w:rPr>
          <w:rFonts w:asciiTheme="minorHAnsi" w:eastAsia="Arial" w:hAnsiTheme="minorHAnsi" w:cstheme="minorHAnsi"/>
          <w:spacing w:val="4"/>
          <w:sz w:val="24"/>
          <w:szCs w:val="24"/>
        </w:rPr>
      </w:pPr>
      <w:r>
        <w:rPr>
          <w:rFonts w:asciiTheme="minorHAnsi" w:eastAsia="Arial" w:hAnsiTheme="minorHAnsi" w:cstheme="minorHAnsi"/>
          <w:b/>
          <w:sz w:val="24"/>
          <w:szCs w:val="24"/>
          <w:lang w:val="hr-HR"/>
        </w:rPr>
        <w:t xml:space="preserve"> ev.br.51-39</w:t>
      </w:r>
      <w:r w:rsidR="00853BFF">
        <w:rPr>
          <w:rFonts w:asciiTheme="minorHAnsi" w:eastAsia="Arial" w:hAnsiTheme="minorHAnsi" w:cstheme="minorHAnsi"/>
          <w:b/>
          <w:sz w:val="24"/>
          <w:szCs w:val="24"/>
          <w:lang w:val="hr-HR"/>
        </w:rPr>
        <w:t>/2025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Pr="008C50A6">
        <w:rPr>
          <w:rFonts w:asciiTheme="minorHAnsi" w:hAnsiTheme="minorHAnsi" w:cstheme="minorHAnsi"/>
          <w:color w:val="000000"/>
          <w:sz w:val="24"/>
          <w:szCs w:val="24"/>
          <w:shd w:val="clear" w:color="auto" w:fill="FFFFFF"/>
        </w:rPr>
        <w:t>KLASA: 406-01/25-01/082</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B74B1A">
        <w:rPr>
          <w:rStyle w:val="Hyperlink"/>
          <w:rFonts w:asciiTheme="minorHAnsi" w:eastAsia="Arial" w:hAnsiTheme="minorHAnsi" w:cstheme="minorHAnsi"/>
          <w:color w:val="auto"/>
          <w:u w:val="none"/>
        </w:rPr>
        <w:t xml:space="preserve">Goran </w:t>
      </w:r>
      <w:r w:rsidR="003A1F62" w:rsidRPr="00B74B1A">
        <w:rPr>
          <w:rStyle w:val="Hyperlink"/>
          <w:rFonts w:asciiTheme="minorHAnsi" w:eastAsia="Arial" w:hAnsiTheme="minorHAnsi" w:cstheme="minorHAnsi"/>
          <w:color w:val="auto"/>
          <w:u w:val="none"/>
        </w:rPr>
        <w:t>Kuljić</w:t>
      </w:r>
      <w:r w:rsidRPr="00B74B1A">
        <w:rPr>
          <w:rStyle w:val="Hyperlink"/>
          <w:rFonts w:asciiTheme="minorHAnsi" w:eastAsia="Arial" w:hAnsiTheme="minorHAnsi" w:cstheme="minorHAnsi"/>
          <w:color w:val="auto"/>
          <w:u w:val="none"/>
        </w:rPr>
        <w:t xml:space="preserve">, </w:t>
      </w:r>
      <w:r w:rsidR="003A1F62" w:rsidRPr="00B74B1A">
        <w:rPr>
          <w:rStyle w:val="Hyperlink"/>
          <w:rFonts w:asciiTheme="minorHAnsi" w:eastAsia="Arial" w:hAnsiTheme="minorHAnsi" w:cstheme="minorHAnsi"/>
          <w:color w:val="auto"/>
          <w:u w:val="none"/>
        </w:rPr>
        <w:t>univ.spec.oec</w:t>
      </w:r>
      <w:r w:rsidRPr="00B74B1A">
        <w:rPr>
          <w:rStyle w:val="Hyperlink"/>
          <w:rFonts w:asciiTheme="minorHAnsi" w:eastAsia="Arial" w:hAnsiTheme="minorHAnsi" w:cstheme="minorHAnsi"/>
          <w:color w:val="auto"/>
          <w:u w:val="none"/>
        </w:rPr>
        <w:t xml:space="preserve">. </w:t>
      </w:r>
      <w:r w:rsidRPr="00B74B1A">
        <w:rPr>
          <w:rStyle w:val="Hyperlink"/>
          <w:rFonts w:asciiTheme="minorHAnsi" w:eastAsia="Arial" w:hAnsiTheme="minorHAnsi" w:cstheme="minorHAnsi"/>
        </w:rPr>
        <w:t>tel: 01</w:t>
      </w:r>
      <w:r w:rsidRPr="00185C91">
        <w:rPr>
          <w:rStyle w:val="Hyperlink"/>
          <w:rFonts w:asciiTheme="minorHAnsi" w:eastAsia="Arial" w:hAnsiTheme="minorHAnsi" w:cstheme="minorHAnsi"/>
        </w:rPr>
        <w:t>/</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w:t>
      </w:r>
      <w:r w:rsidRPr="00185C91">
        <w:rPr>
          <w:rFonts w:asciiTheme="minorHAnsi" w:hAnsiTheme="minorHAnsi" w:cstheme="minorHAnsi"/>
          <w:sz w:val="21"/>
          <w:szCs w:val="21"/>
          <w:lang w:val="hr-HR"/>
        </w:rPr>
        <w:tab/>
        <w:t>PHARMA HEMP d.o.o., Ulica kneza Branimira 71 A, Zagreb, OIB 73731486433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2.</w:t>
      </w:r>
      <w:r w:rsidRPr="00185C91">
        <w:rPr>
          <w:rFonts w:asciiTheme="minorHAnsi" w:hAnsiTheme="minorHAnsi" w:cstheme="minorHAnsi"/>
          <w:sz w:val="21"/>
          <w:szCs w:val="21"/>
          <w:lang w:val="hr-HR"/>
        </w:rPr>
        <w:tab/>
        <w:t>PROPERTIES INVENTIVE DESIGN d.o.o., Jukićeva 2/A, Zagreb, OIB 14937489808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3.</w:t>
      </w:r>
      <w:r w:rsidRPr="00185C91">
        <w:rPr>
          <w:rFonts w:asciiTheme="minorHAnsi" w:hAnsiTheme="minorHAnsi" w:cstheme="minorHAnsi"/>
          <w:sz w:val="21"/>
          <w:szCs w:val="21"/>
          <w:lang w:val="hr-HR"/>
        </w:rPr>
        <w:tab/>
        <w:t>ULOLA d.o.o., Jure Kaštelana 19, Zagreb, OIB 53575159503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4.</w:t>
      </w:r>
      <w:r w:rsidRPr="00185C91">
        <w:rPr>
          <w:rFonts w:asciiTheme="minorHAnsi" w:hAnsiTheme="minorHAnsi" w:cstheme="minorHAnsi"/>
          <w:sz w:val="21"/>
          <w:szCs w:val="21"/>
          <w:lang w:val="hr-HR"/>
        </w:rPr>
        <w:tab/>
        <w:t>NAŠE VOĆE d.o.o., Jukićeva 2/A, Zagreb, OIB 96115198364</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5.</w:t>
      </w:r>
      <w:r w:rsidRPr="00185C91">
        <w:rPr>
          <w:rFonts w:asciiTheme="minorHAnsi" w:hAnsiTheme="minorHAnsi" w:cstheme="minorHAnsi"/>
          <w:sz w:val="21"/>
          <w:szCs w:val="21"/>
          <w:lang w:val="hr-HR"/>
        </w:rPr>
        <w:tab/>
        <w:t>STARESMED j.d.o.o., Prolaz Jurja Ratkaja 7, Zagreb, OIB 05094187485</w:t>
      </w:r>
    </w:p>
    <w:p w:rsidR="008F1C4E" w:rsidRPr="00185C91" w:rsidRDefault="008F1C4E" w:rsidP="008F1C4E">
      <w:pPr>
        <w:shd w:val="clear" w:color="auto" w:fill="FFFFFF"/>
        <w:ind w:left="709" w:hanging="567"/>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7.</w:t>
      </w:r>
      <w:r w:rsidRPr="00185C91">
        <w:rPr>
          <w:rFonts w:asciiTheme="minorHAnsi" w:hAnsiTheme="minorHAnsi" w:cstheme="minorHAnsi"/>
          <w:sz w:val="21"/>
          <w:szCs w:val="21"/>
          <w:lang w:val="hr-HR"/>
        </w:rPr>
        <w:tab/>
        <w:t>CENTAR ZA ODGOJ I OBRAZOVANJE VINKO BEK, Kušlanova 59a, Zagreb, OIB 16898882733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8.</w:t>
      </w:r>
      <w:r w:rsidRPr="00185C91">
        <w:rPr>
          <w:rFonts w:asciiTheme="minorHAnsi" w:hAnsiTheme="minorHAnsi" w:cstheme="minorHAnsi"/>
          <w:sz w:val="21"/>
          <w:szCs w:val="21"/>
          <w:lang w:val="hr-HR"/>
        </w:rPr>
        <w:tab/>
        <w:t>ENVILINK d.o.o., Gračani 4, Zagreb, OIB 14118994987</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9.</w:t>
      </w:r>
      <w:r w:rsidRPr="00185C91">
        <w:rPr>
          <w:rFonts w:asciiTheme="minorHAnsi" w:hAnsiTheme="minorHAnsi" w:cstheme="minorHAnsi"/>
          <w:sz w:val="21"/>
          <w:szCs w:val="21"/>
          <w:lang w:val="hr-HR"/>
        </w:rPr>
        <w:tab/>
        <w:t>ZAGREB HEALTH CITY d.o.o., Ksaver 209, Zagreb, OIB 86104174298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10.</w:t>
      </w:r>
      <w:r w:rsidRPr="00185C91">
        <w:rPr>
          <w:rFonts w:asciiTheme="minorHAnsi" w:hAnsiTheme="minorHAnsi" w:cstheme="minorHAnsi"/>
          <w:sz w:val="21"/>
          <w:szCs w:val="21"/>
          <w:lang w:val="hr-HR"/>
        </w:rPr>
        <w:tab/>
        <w:t>POGLED 360 d.o.o., Kopernikova 26, Zagreb, OIB 53050868963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11.</w:t>
      </w:r>
      <w:r w:rsidRPr="00185C91">
        <w:rPr>
          <w:rFonts w:asciiTheme="minorHAnsi" w:hAnsiTheme="minorHAnsi" w:cstheme="minorHAnsi"/>
          <w:sz w:val="21"/>
          <w:szCs w:val="21"/>
          <w:lang w:val="hr-HR"/>
        </w:rPr>
        <w:tab/>
        <w:t>A. PROJEKTIRANJE d.o.o., I. Barutanski breg 4, Zagreb, OIB 11773709542</w:t>
      </w:r>
    </w:p>
    <w:p w:rsidR="00287C71"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12.</w:t>
      </w:r>
      <w:r w:rsidRPr="00185C91">
        <w:rPr>
          <w:rFonts w:asciiTheme="minorHAnsi" w:hAnsiTheme="minorHAnsi" w:cstheme="minorHAnsi"/>
          <w:sz w:val="21"/>
          <w:szCs w:val="21"/>
          <w:lang w:val="hr-HR"/>
        </w:rPr>
        <w:tab/>
        <w:t>ETNO GASTRO d.o.o., Trg Ljudevita Gaja 3, Krapina, OIB 43527261524</w:t>
      </w:r>
    </w:p>
    <w:p w:rsidR="008F1C4E" w:rsidRPr="00185C91" w:rsidRDefault="008F1C4E" w:rsidP="008F1C4E">
      <w:pPr>
        <w:shd w:val="clear" w:color="auto" w:fill="FFFFFF"/>
        <w:ind w:left="142"/>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2.       IGH BUSINESS ADVISORY SERVICES d.o.o., Janka Rakuše 1, Zagreb, OIB 21740013729</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3.       ROSA TRIM d.o.o., Prominska 48, Zagreb, OIB 31184249323</w:t>
      </w:r>
    </w:p>
    <w:p w:rsidR="00CF3FCA"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4.       AC PLUS d.o.o., Ulica kralja Zvonimira 22, Zagreb, OIB 78333787947</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853BFF"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8C50A6" w:rsidRPr="008C50A6">
        <w:rPr>
          <w:rFonts w:asciiTheme="minorHAnsi" w:eastAsia="Arial" w:hAnsiTheme="minorHAnsi" w:cstheme="minorHAnsi"/>
          <w:b/>
          <w:sz w:val="24"/>
          <w:szCs w:val="24"/>
          <w:lang w:val="en-AU"/>
        </w:rPr>
        <w:t>UPS uređaj snage 70 kVA/ 70 kW za potrebe Klinike za onkologiju KBC Sestre milosrdnice</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5F0EAD" w:rsidRPr="00185C91">
        <w:rPr>
          <w:rFonts w:asciiTheme="minorHAnsi" w:hAnsiTheme="minorHAnsi" w:cstheme="minorHAnsi"/>
          <w:b/>
          <w:sz w:val="24"/>
        </w:rPr>
        <w:t>31154000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853BFF">
        <w:rPr>
          <w:rFonts w:asciiTheme="minorHAnsi" w:hAnsiTheme="minorHAnsi" w:cstheme="minorHAnsi"/>
          <w:b/>
          <w:sz w:val="24"/>
          <w:szCs w:val="24"/>
          <w:lang w:val="hr-HR" w:eastAsia="hr-HR"/>
        </w:rPr>
        <w:t>51-3</w:t>
      </w:r>
      <w:r w:rsidR="008C50A6">
        <w:rPr>
          <w:rFonts w:asciiTheme="minorHAnsi" w:hAnsiTheme="minorHAnsi" w:cstheme="minorHAnsi"/>
          <w:b/>
          <w:sz w:val="24"/>
          <w:szCs w:val="24"/>
          <w:lang w:val="hr-HR" w:eastAsia="hr-HR"/>
        </w:rPr>
        <w:t>9</w:t>
      </w:r>
      <w:r w:rsidR="00853BFF">
        <w:rPr>
          <w:rFonts w:asciiTheme="minorHAnsi" w:hAnsiTheme="minorHAnsi" w:cstheme="minorHAnsi"/>
          <w:b/>
          <w:sz w:val="24"/>
          <w:szCs w:val="24"/>
          <w:lang w:val="hr-HR" w:eastAsia="hr-HR"/>
        </w:rPr>
        <w:t>/2025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26.</w:t>
      </w:r>
      <w:r w:rsidR="005F0EAD" w:rsidRPr="00185C91">
        <w:rPr>
          <w:rFonts w:asciiTheme="minorHAnsi" w:hAnsiTheme="minorHAnsi" w:cstheme="minorHAnsi"/>
          <w:b/>
          <w:sz w:val="24"/>
          <w:szCs w:val="24"/>
        </w:rPr>
        <w:t>500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853BFF" w:rsidRPr="00853BFF">
        <w:rPr>
          <w:rFonts w:asciiTheme="minorHAnsi" w:hAnsiTheme="minorHAnsi" w:cstheme="minorHAnsi"/>
          <w:b/>
          <w:sz w:val="24"/>
          <w:szCs w:val="24"/>
        </w:rPr>
        <w:t>30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9C2609" w:rsidP="005F3624">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Rob</w:t>
      </w:r>
      <w:r w:rsidR="00B74B1A">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 xml:space="preserve"> koja je predmetom ovog postupka javne nabave</w:t>
      </w:r>
      <w:r w:rsidR="00767489" w:rsidRPr="00185C91">
        <w:rPr>
          <w:rFonts w:asciiTheme="minorHAnsi" w:eastAsia="Arial" w:hAnsiTheme="minorHAnsi" w:cstheme="minorHAnsi"/>
          <w:spacing w:val="1"/>
          <w:sz w:val="24"/>
          <w:szCs w:val="24"/>
        </w:rPr>
        <w:t xml:space="preserve"> Ponuditelj (Isporučit</w:t>
      </w:r>
      <w:r w:rsidR="008C50A6">
        <w:rPr>
          <w:rFonts w:asciiTheme="minorHAnsi" w:eastAsia="Arial" w:hAnsiTheme="minorHAnsi" w:cstheme="minorHAnsi"/>
          <w:spacing w:val="1"/>
          <w:sz w:val="24"/>
          <w:szCs w:val="24"/>
        </w:rPr>
        <w:t xml:space="preserve">elj) je dužan isporučiti </w:t>
      </w:r>
      <w:r w:rsidR="006761E4">
        <w:rPr>
          <w:rFonts w:asciiTheme="minorHAnsi" w:eastAsia="Arial" w:hAnsiTheme="minorHAnsi" w:cstheme="minorHAnsi"/>
          <w:b/>
          <w:spacing w:val="1"/>
          <w:sz w:val="24"/>
          <w:szCs w:val="24"/>
        </w:rPr>
        <w:t>unutar 7</w:t>
      </w:r>
      <w:r w:rsidR="005F3624" w:rsidRPr="005F3624">
        <w:rPr>
          <w:rFonts w:asciiTheme="minorHAnsi" w:eastAsia="Arial" w:hAnsiTheme="minorHAnsi" w:cstheme="minorHAnsi"/>
          <w:b/>
          <w:spacing w:val="1"/>
          <w:sz w:val="24"/>
          <w:szCs w:val="24"/>
        </w:rPr>
        <w:t xml:space="preserve"> dana</w:t>
      </w:r>
      <w:r w:rsidR="008C50A6">
        <w:rPr>
          <w:rFonts w:asciiTheme="minorHAnsi" w:eastAsia="Arial" w:hAnsiTheme="minorHAnsi" w:cstheme="minorHAnsi"/>
          <w:b/>
          <w:spacing w:val="1"/>
          <w:sz w:val="24"/>
          <w:szCs w:val="24"/>
        </w:rPr>
        <w:t xml:space="preserve"> od dana potpisivanja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393414" w:rsidRPr="006761E4" w:rsidRDefault="009041B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r>
        <w:rPr>
          <w:rFonts w:asciiTheme="minorHAnsi" w:eastAsia="Arial" w:hAnsiTheme="minorHAnsi" w:cstheme="minorHAnsi"/>
          <w:spacing w:val="1"/>
          <w:sz w:val="24"/>
          <w:szCs w:val="24"/>
        </w:rPr>
        <w:t xml:space="preserve">     </w:t>
      </w:r>
      <w:r w:rsidRPr="006761E4">
        <w:rPr>
          <w:rFonts w:asciiTheme="minorHAnsi" w:eastAsia="Arial" w:hAnsiTheme="minorHAnsi" w:cstheme="minorHAnsi"/>
          <w:b/>
          <w:spacing w:val="1"/>
          <w:sz w:val="24"/>
          <w:szCs w:val="24"/>
        </w:rPr>
        <w:t>11.5.</w:t>
      </w:r>
      <w:r w:rsidRPr="006761E4">
        <w:rPr>
          <w:rFonts w:asciiTheme="minorHAnsi" w:eastAsia="Arial" w:hAnsiTheme="minorHAnsi" w:cstheme="minorHAnsi"/>
          <w:spacing w:val="1"/>
          <w:sz w:val="24"/>
          <w:szCs w:val="24"/>
        </w:rPr>
        <w:t xml:space="preserve"> </w:t>
      </w:r>
      <w:r w:rsidR="00393414" w:rsidRPr="006761E4">
        <w:rPr>
          <w:rFonts w:asciiTheme="minorHAnsi" w:eastAsia="Arial" w:hAnsiTheme="minorHAnsi" w:cstheme="minorHAnsi"/>
          <w:b/>
          <w:bCs/>
          <w:spacing w:val="1"/>
          <w:sz w:val="24"/>
          <w:szCs w:val="24"/>
          <w:lang w:val="hr-HR"/>
        </w:rPr>
        <w:t xml:space="preserve">Popis </w:t>
      </w:r>
      <w:r w:rsidR="00470056" w:rsidRPr="006761E4">
        <w:rPr>
          <w:rFonts w:asciiTheme="minorHAnsi" w:eastAsia="Arial" w:hAnsiTheme="minorHAnsi" w:cstheme="minorHAnsi"/>
          <w:b/>
          <w:bCs/>
          <w:spacing w:val="1"/>
          <w:sz w:val="24"/>
          <w:szCs w:val="24"/>
          <w:lang w:val="hr-HR"/>
        </w:rPr>
        <w:t xml:space="preserve">ugovora </w:t>
      </w:r>
      <w:r w:rsidR="00393414" w:rsidRPr="006761E4">
        <w:rPr>
          <w:rFonts w:asciiTheme="minorHAnsi" w:eastAsia="Arial" w:hAnsiTheme="minorHAnsi" w:cstheme="minorHAnsi"/>
          <w:b/>
          <w:bCs/>
          <w:spacing w:val="1"/>
          <w:sz w:val="24"/>
          <w:szCs w:val="24"/>
          <w:lang w:val="hr-HR"/>
        </w:rPr>
        <w:t>isporuka robe izvršenih u godini u kojoj je započeo postupak javne nabave i tijekom tri godine koje prethode toj godini. Smatra se da je uvjet tehničke i stručne sposobnosti gospodarskog subjekta vezan uz predmet nabave ako je roba ista ili slična predmetu nabave</w:t>
      </w:r>
    </w:p>
    <w:p w:rsidR="00393414" w:rsidRPr="006761E4" w:rsidRDefault="0039341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p>
    <w:p w:rsidR="00393414" w:rsidRPr="006761E4" w:rsidRDefault="0039341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spacing w:val="1"/>
          <w:sz w:val="24"/>
          <w:szCs w:val="24"/>
          <w:lang w:val="hr-HR"/>
        </w:rPr>
      </w:pPr>
      <w:r w:rsidRPr="006761E4">
        <w:rPr>
          <w:rFonts w:asciiTheme="minorHAnsi" w:eastAsia="Arial" w:hAnsiTheme="minorHAnsi" w:cstheme="minorHAnsi"/>
          <w:bCs/>
          <w:spacing w:val="1"/>
          <w:sz w:val="24"/>
          <w:szCs w:val="24"/>
          <w:lang w:val="hr-HR"/>
        </w:rPr>
        <w:t>Popis ugovora sadrži naziv predmeta nabave, datum izvršenja ugovora, iznos ugovora bez PDV-a i naziv druge ugovorne strane.</w:t>
      </w:r>
    </w:p>
    <w:p w:rsidR="00393414" w:rsidRPr="006761E4" w:rsidRDefault="0039341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761E4">
        <w:rPr>
          <w:rFonts w:asciiTheme="minorHAnsi" w:eastAsia="Arial" w:hAnsiTheme="minorHAnsi" w:cstheme="minorHAnsi"/>
          <w:bCs/>
          <w:iCs/>
          <w:spacing w:val="1"/>
          <w:sz w:val="24"/>
          <w:szCs w:val="24"/>
          <w:lang w:val="hr-HR"/>
        </w:rPr>
        <w:t xml:space="preserve">Ponuditelj mora dostaviti popis na kojemu je navedeno do pet ugovora o isporuci roba istih ili sličnih predmetu nabave, a čiji zbrojeni iznos bez PDV-a mora biti najmanje u visini procijenjene vrijednosti predmeta nabave </w:t>
      </w:r>
    </w:p>
    <w:p w:rsidR="00470056" w:rsidRPr="006761E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iCs/>
          <w:spacing w:val="1"/>
          <w:sz w:val="24"/>
          <w:szCs w:val="24"/>
          <w:lang w:val="hr-HR"/>
        </w:rPr>
      </w:pPr>
      <w:r w:rsidRPr="006761E4">
        <w:rPr>
          <w:rFonts w:asciiTheme="minorHAnsi" w:eastAsia="Arial" w:hAnsiTheme="minorHAnsi" w:cstheme="minorHAnsi"/>
          <w:b/>
          <w:bCs/>
          <w:iCs/>
          <w:spacing w:val="1"/>
          <w:sz w:val="24"/>
          <w:szCs w:val="24"/>
          <w:lang w:val="hr-HR"/>
        </w:rPr>
        <w:t xml:space="preserve">  11.6. Ponuditelj za izvršenje Ugovora mora imati na raspolaganju minimalno sljedeće tehničke stručnjake sa stručnom kvalifikacijom i iskustvom kako slijedi:</w:t>
      </w: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761E4">
        <w:rPr>
          <w:rFonts w:asciiTheme="minorHAnsi" w:eastAsia="Arial" w:hAnsiTheme="minorHAnsi" w:cstheme="minorHAnsi"/>
          <w:bCs/>
          <w:iCs/>
          <w:spacing w:val="1"/>
          <w:sz w:val="24"/>
          <w:szCs w:val="24"/>
          <w:lang w:val="hr-HR"/>
        </w:rPr>
        <w:t>•</w:t>
      </w:r>
      <w:r w:rsidRPr="006761E4">
        <w:rPr>
          <w:rFonts w:asciiTheme="minorHAnsi" w:eastAsia="Arial" w:hAnsiTheme="minorHAnsi" w:cstheme="minorHAnsi"/>
          <w:bCs/>
          <w:iCs/>
          <w:spacing w:val="1"/>
          <w:sz w:val="24"/>
          <w:szCs w:val="24"/>
          <w:lang w:val="hr-HR"/>
        </w:rPr>
        <w:tab/>
        <w:t>Minimalno 1 (jednog) stručnjaka, ovlaštenog od strane proizvođača ili ovlaštenog predstavnika  proizvođača, UPS uređaja za besprekidno napajanje, koji posjeduju važeći certifikat za ugradnju i puštanje u pogon ponuđenog UPS uređaja</w:t>
      </w: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761E4">
        <w:rPr>
          <w:rFonts w:asciiTheme="minorHAnsi" w:eastAsia="Arial" w:hAnsiTheme="minorHAnsi" w:cstheme="minorHAnsi"/>
          <w:bCs/>
          <w:iCs/>
          <w:spacing w:val="1"/>
          <w:sz w:val="24"/>
          <w:szCs w:val="24"/>
          <w:lang w:val="hr-HR"/>
        </w:rPr>
        <w:t>Kao dokaz o obrazovanju ponuditelj je dužan dostaviti ovjerenu izjavu proizvođača ili ovlaštenog predstavnika proizvođača koji je ovlašten za davanje predmetne izjave, presliku diploma, svjedodžbi, certifikata, uvjerenja ili drugih službenih dokumenata iz kojih se nedvojbeno dokazuje da stručnjak posjeduje traženo ovlaštenje.</w:t>
      </w:r>
      <w:r w:rsidRPr="00470056">
        <w:rPr>
          <w:rFonts w:asciiTheme="minorHAnsi" w:eastAsia="Arial" w:hAnsiTheme="minorHAnsi" w:cstheme="minorHAnsi"/>
          <w:bCs/>
          <w:iCs/>
          <w:spacing w:val="1"/>
          <w:sz w:val="24"/>
          <w:szCs w:val="24"/>
          <w:lang w:val="hr-HR"/>
        </w:rPr>
        <w:t xml:space="preserve"> </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DA0E9A"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sidRPr="00DA0E9A">
        <w:rPr>
          <w:rFonts w:asciiTheme="minorHAnsi" w:eastAsia="Arial" w:hAnsiTheme="minorHAnsi" w:cstheme="minorHAnsi"/>
          <w:b/>
          <w:bCs/>
          <w:iCs/>
          <w:spacing w:val="1"/>
          <w:sz w:val="24"/>
          <w:szCs w:val="24"/>
          <w:lang w:val="hr-HR"/>
        </w:rPr>
        <w:t>11.7.</w:t>
      </w:r>
      <w:r>
        <w:rPr>
          <w:rFonts w:asciiTheme="minorHAnsi" w:eastAsia="Arial" w:hAnsiTheme="minorHAnsi" w:cstheme="minorHAnsi"/>
          <w:b/>
          <w:bCs/>
          <w:iCs/>
          <w:spacing w:val="1"/>
          <w:sz w:val="24"/>
          <w:szCs w:val="24"/>
          <w:lang w:val="hr-HR"/>
        </w:rPr>
        <w:t xml:space="preserve"> </w:t>
      </w:r>
      <w:r w:rsidRPr="00DA0E9A">
        <w:rPr>
          <w:rFonts w:asciiTheme="minorHAnsi" w:eastAsia="Arial" w:hAnsiTheme="minorHAnsi" w:cstheme="minorHAnsi"/>
          <w:b/>
          <w:bCs/>
          <w:iCs/>
          <w:spacing w:val="1"/>
          <w:sz w:val="24"/>
          <w:szCs w:val="24"/>
          <w:lang w:val="hr-HR"/>
        </w:rPr>
        <w:t>Izjava kojom se potvrdjuje da jamstveni rok za robu</w:t>
      </w:r>
      <w:r w:rsidRPr="00DA0E9A">
        <w:rPr>
          <w:rFonts w:asciiTheme="minorHAnsi" w:eastAsia="Arial" w:hAnsiTheme="minorHAnsi" w:cstheme="minorHAnsi"/>
          <w:bCs/>
          <w:iCs/>
          <w:spacing w:val="1"/>
          <w:sz w:val="24"/>
          <w:szCs w:val="24"/>
          <w:lang w:val="hr-HR"/>
        </w:rPr>
        <w:t xml:space="preserve"> opisanu u točki 4. Poziva na dostavu ponuda</w:t>
      </w:r>
      <w:r>
        <w:rPr>
          <w:rFonts w:asciiTheme="minorHAnsi" w:eastAsia="Arial" w:hAnsiTheme="minorHAnsi" w:cstheme="minorHAnsi"/>
          <w:b/>
          <w:bCs/>
          <w:iCs/>
          <w:spacing w:val="1"/>
          <w:sz w:val="24"/>
          <w:szCs w:val="24"/>
          <w:lang w:val="hr-HR"/>
        </w:rPr>
        <w:t>, iznosi 36</w:t>
      </w:r>
      <w:r w:rsidRPr="00DA0E9A">
        <w:rPr>
          <w:rFonts w:asciiTheme="minorHAnsi" w:eastAsia="Arial" w:hAnsiTheme="minorHAnsi" w:cstheme="minorHAnsi"/>
          <w:b/>
          <w:bCs/>
          <w:iCs/>
          <w:spacing w:val="1"/>
          <w:sz w:val="24"/>
          <w:szCs w:val="24"/>
          <w:lang w:val="hr-HR"/>
        </w:rPr>
        <w:t xml:space="preserve"> mjeseci </w:t>
      </w:r>
      <w:r w:rsidRPr="00DA0E9A">
        <w:rPr>
          <w:rFonts w:asciiTheme="minorHAnsi" w:eastAsia="Arial" w:hAnsiTheme="minorHAnsi" w:cstheme="minorHAnsi"/>
          <w:bCs/>
          <w:iCs/>
          <w:spacing w:val="1"/>
          <w:sz w:val="24"/>
          <w:szCs w:val="24"/>
          <w:lang w:val="hr-HR"/>
        </w:rPr>
        <w:t>od dana potpisivanja Primopredajnog zapisnika opisanog u točki 10. Poziva na dostavu ponuda.</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i 11.6.</w:t>
      </w:r>
      <w:r w:rsidRPr="009B21AD">
        <w:rPr>
          <w:rFonts w:asciiTheme="minorHAnsi" w:eastAsia="Arial" w:hAnsiTheme="minorHAnsi" w:cstheme="minorHAnsi"/>
          <w:bCs/>
          <w:sz w:val="24"/>
          <w:szCs w:val="24"/>
          <w:u w:val="single"/>
          <w:lang w:val="hr-HR"/>
        </w:rPr>
        <w:t xml:space="preserve"> </w:t>
      </w:r>
      <w:r w:rsidRPr="009B21AD">
        <w:rPr>
          <w:rFonts w:asciiTheme="minorHAnsi" w:eastAsia="Arial" w:hAnsiTheme="minorHAnsi" w:cstheme="minorHAnsi"/>
          <w:b/>
          <w:bCs/>
          <w:sz w:val="24"/>
          <w:szCs w:val="24"/>
          <w:u w:val="single"/>
          <w:lang w:val="hr-HR"/>
        </w:rPr>
        <w:t>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lastRenderedPageBreak/>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F50AF4" w:rsidRPr="00185C91" w:rsidRDefault="008C50A6"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r w:rsidRPr="008C50A6">
        <w:rPr>
          <w:rFonts w:asciiTheme="minorHAnsi" w:eastAsia="Arial" w:hAnsiTheme="minorHAnsi" w:cstheme="minorHAnsi"/>
          <w:b/>
          <w:sz w:val="24"/>
          <w:szCs w:val="24"/>
          <w:lang w:val="hr-HR"/>
        </w:rPr>
        <w:t>UPS uređaj snage 70 kVA/ 70 kW za potrebe Klinike za onkologiju KBC Sestre milosrdnice</w:t>
      </w:r>
      <w:r w:rsidR="00566218" w:rsidRPr="00566218">
        <w:rPr>
          <w:rFonts w:asciiTheme="minorHAnsi" w:eastAsia="Arial" w:hAnsiTheme="minorHAnsi" w:cstheme="minorHAnsi"/>
          <w:b/>
          <w:sz w:val="24"/>
          <w:szCs w:val="24"/>
          <w:lang w:val="hr-HR"/>
        </w:rPr>
        <w:t xml:space="preserve"> </w:t>
      </w:r>
      <w:r w:rsidR="0042164C"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r w:rsidR="000B3F12" w:rsidRPr="00185C91">
        <w:rPr>
          <w:rFonts w:asciiTheme="minorHAnsi" w:eastAsia="Arial" w:hAnsiTheme="minorHAnsi" w:cstheme="minorHAnsi"/>
          <w:b/>
          <w:spacing w:val="1"/>
          <w:sz w:val="24"/>
          <w:szCs w:val="24"/>
        </w:rPr>
        <w:t xml:space="preserve"> </w:t>
      </w:r>
      <w:r w:rsidR="00566218">
        <w:rPr>
          <w:rFonts w:asciiTheme="minorHAnsi" w:eastAsia="Arial" w:hAnsiTheme="minorHAnsi" w:cstheme="minorHAnsi"/>
          <w:b/>
          <w:spacing w:val="1"/>
          <w:sz w:val="24"/>
          <w:szCs w:val="24"/>
        </w:rPr>
        <w:t>51-31/2025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EB0C85">
        <w:rPr>
          <w:rFonts w:asciiTheme="minorHAnsi" w:eastAsia="Arial" w:hAnsiTheme="minorHAnsi" w:cstheme="minorHAnsi"/>
          <w:b/>
          <w:spacing w:val="1"/>
          <w:sz w:val="24"/>
          <w:szCs w:val="24"/>
        </w:rPr>
        <w:t>24</w:t>
      </w:r>
      <w:r w:rsidR="008C50A6">
        <w:rPr>
          <w:rFonts w:asciiTheme="minorHAnsi" w:eastAsia="Arial" w:hAnsiTheme="minorHAnsi" w:cstheme="minorHAnsi"/>
          <w:b/>
          <w:spacing w:val="1"/>
          <w:sz w:val="24"/>
          <w:szCs w:val="24"/>
        </w:rPr>
        <w:t>.05</w:t>
      </w:r>
      <w:r w:rsidR="00917B55" w:rsidRPr="00185C91">
        <w:rPr>
          <w:rFonts w:asciiTheme="minorHAnsi" w:eastAsia="Arial" w:hAnsiTheme="minorHAnsi" w:cstheme="minorHAnsi"/>
          <w:b/>
          <w:sz w:val="24"/>
          <w:szCs w:val="24"/>
        </w:rPr>
        <w:t>.202</w:t>
      </w:r>
      <w:r w:rsidR="00566218">
        <w:rPr>
          <w:rFonts w:asciiTheme="minorHAnsi" w:eastAsia="Arial" w:hAnsiTheme="minorHAnsi" w:cstheme="minorHAnsi"/>
          <w:b/>
          <w:sz w:val="24"/>
          <w:szCs w:val="24"/>
        </w:rPr>
        <w:t>5</w:t>
      </w:r>
      <w:r w:rsidR="00917B55" w:rsidRPr="00185C91">
        <w:rPr>
          <w:rFonts w:asciiTheme="minorHAnsi" w:eastAsia="Arial" w:hAnsiTheme="minorHAnsi" w:cstheme="minorHAnsi"/>
          <w:b/>
          <w:sz w:val="24"/>
          <w:szCs w:val="24"/>
        </w:rPr>
        <w:t>.</w:t>
      </w:r>
      <w:r w:rsidR="002C1B67"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z w:val="24"/>
          <w:szCs w:val="24"/>
        </w:rPr>
        <w:t>godine</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1</w:t>
      </w:r>
      <w:r w:rsidR="00917B55" w:rsidRPr="00185C91">
        <w:rPr>
          <w:rFonts w:asciiTheme="minorHAnsi" w:eastAsia="Arial" w:hAnsiTheme="minorHAnsi" w:cstheme="minorHAnsi"/>
          <w:b/>
          <w:spacing w:val="-1"/>
          <w:sz w:val="24"/>
          <w:szCs w:val="24"/>
        </w:rPr>
        <w:t>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lastRenderedPageBreak/>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Pr="00185C91"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8C50A6" w:rsidRPr="00EB0C85">
        <w:rPr>
          <w:rFonts w:asciiTheme="minorHAnsi" w:eastAsia="Arial" w:hAnsiTheme="minorHAnsi" w:cstheme="minorHAnsi"/>
          <w:b/>
          <w:spacing w:val="1"/>
          <w:sz w:val="24"/>
          <w:szCs w:val="24"/>
          <w:highlight w:val="yellow"/>
          <w:u w:val="single"/>
        </w:rPr>
        <w:t>2</w:t>
      </w:r>
      <w:r w:rsidR="00EB0C85" w:rsidRPr="00EB0C85">
        <w:rPr>
          <w:rFonts w:asciiTheme="minorHAnsi" w:eastAsia="Arial" w:hAnsiTheme="minorHAnsi" w:cstheme="minorHAnsi"/>
          <w:b/>
          <w:spacing w:val="1"/>
          <w:sz w:val="24"/>
          <w:szCs w:val="24"/>
          <w:highlight w:val="yellow"/>
          <w:u w:val="single"/>
        </w:rPr>
        <w:t>4</w:t>
      </w:r>
      <w:r w:rsidR="008C50A6" w:rsidRPr="00EB0C85">
        <w:rPr>
          <w:rFonts w:asciiTheme="minorHAnsi" w:eastAsia="Arial" w:hAnsiTheme="minorHAnsi" w:cstheme="minorHAnsi"/>
          <w:b/>
          <w:spacing w:val="1"/>
          <w:sz w:val="24"/>
          <w:szCs w:val="24"/>
          <w:highlight w:val="yellow"/>
          <w:u w:val="single"/>
        </w:rPr>
        <w:t>.05</w:t>
      </w:r>
      <w:r w:rsidR="00A75D8A" w:rsidRPr="00EB0C85">
        <w:rPr>
          <w:rFonts w:asciiTheme="minorHAnsi" w:eastAsia="Arial" w:hAnsiTheme="minorHAnsi" w:cstheme="minorHAnsi"/>
          <w:b/>
          <w:spacing w:val="1"/>
          <w:sz w:val="24"/>
          <w:szCs w:val="24"/>
          <w:highlight w:val="yellow"/>
          <w:u w:val="single"/>
        </w:rPr>
        <w:t>.202</w:t>
      </w:r>
      <w:r w:rsidR="00566218" w:rsidRPr="00EB0C85">
        <w:rPr>
          <w:rFonts w:asciiTheme="minorHAnsi" w:eastAsia="Arial" w:hAnsiTheme="minorHAnsi" w:cstheme="minorHAnsi"/>
          <w:b/>
          <w:spacing w:val="1"/>
          <w:sz w:val="24"/>
          <w:szCs w:val="24"/>
          <w:highlight w:val="yellow"/>
          <w:u w:val="single"/>
        </w:rPr>
        <w:t>5</w:t>
      </w:r>
      <w:r w:rsidR="00A75D8A" w:rsidRPr="00EB0C85">
        <w:rPr>
          <w:rFonts w:asciiTheme="minorHAnsi" w:eastAsia="Arial" w:hAnsiTheme="minorHAnsi" w:cstheme="minorHAnsi"/>
          <w:b/>
          <w:spacing w:val="1"/>
          <w:sz w:val="24"/>
          <w:szCs w:val="24"/>
          <w:highlight w:val="yellow"/>
          <w:u w:val="single"/>
        </w:rPr>
        <w:t>. godine do 11.00 sati</w:t>
      </w:r>
      <w:bookmarkStart w:id="0" w:name="_GoBack"/>
      <w:bookmarkEnd w:id="0"/>
      <w:r w:rsidR="00A75D8A" w:rsidRPr="00185C91">
        <w:rPr>
          <w:rFonts w:asciiTheme="minorHAnsi" w:eastAsia="Arial" w:hAnsiTheme="minorHAnsi" w:cstheme="minorHAnsi"/>
          <w:b/>
          <w:spacing w:val="1"/>
          <w:sz w:val="24"/>
          <w:szCs w:val="24"/>
          <w:u w:val="single"/>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lastRenderedPageBreak/>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t će se nakon sklapanja ugovora</w:t>
      </w:r>
      <w:r w:rsidR="006761E4">
        <w:rPr>
          <w:rFonts w:asciiTheme="minorHAnsi" w:eastAsia="Arial" w:hAnsiTheme="minorHAnsi" w:cstheme="minorHAnsi"/>
          <w:b/>
          <w:spacing w:val="1"/>
          <w:sz w:val="24"/>
          <w:szCs w:val="24"/>
        </w:rPr>
        <w:t xml:space="preserve"> unutar 7</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5F3624">
        <w:rPr>
          <w:rFonts w:asciiTheme="minorHAnsi" w:eastAsia="Arial" w:hAnsiTheme="minorHAnsi" w:cstheme="minorHAnsi"/>
          <w:sz w:val="24"/>
          <w:szCs w:val="24"/>
        </w:rPr>
        <w:t>30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8C50A6" w:rsidRPr="008C50A6" w:rsidRDefault="008C50A6" w:rsidP="008C50A6">
            <w:pPr>
              <w:tabs>
                <w:tab w:val="left" w:pos="9639"/>
              </w:tabs>
              <w:spacing w:after="75"/>
              <w:ind w:left="284" w:right="77"/>
              <w:jc w:val="center"/>
              <w:textAlignment w:val="baseline"/>
              <w:rPr>
                <w:rFonts w:asciiTheme="minorHAnsi" w:eastAsia="Arial" w:hAnsiTheme="minorHAnsi" w:cstheme="minorHAnsi"/>
                <w:b/>
                <w:sz w:val="22"/>
                <w:szCs w:val="24"/>
                <w:lang w:val="en-AU"/>
              </w:rPr>
            </w:pPr>
            <w:r w:rsidRPr="008C50A6">
              <w:rPr>
                <w:rFonts w:asciiTheme="minorHAnsi" w:eastAsia="Arial" w:hAnsiTheme="minorHAnsi" w:cstheme="minorHAnsi"/>
                <w:b/>
                <w:sz w:val="22"/>
                <w:szCs w:val="24"/>
                <w:lang w:val="en-AU"/>
              </w:rPr>
              <w:t>UPS uređaj snage 70 kVA/ 70 kW za potrebe Klinike za onkologiju KBC Sestre milosrdnice</w:t>
            </w:r>
          </w:p>
          <w:p w:rsidR="0058598A" w:rsidRPr="00185C91" w:rsidRDefault="0058598A" w:rsidP="002954B7">
            <w:pPr>
              <w:tabs>
                <w:tab w:val="left" w:pos="9639"/>
              </w:tabs>
              <w:spacing w:after="75"/>
              <w:ind w:left="284" w:right="77"/>
              <w:jc w:val="center"/>
              <w:textAlignment w:val="baseline"/>
              <w:rPr>
                <w:rFonts w:asciiTheme="minorHAnsi" w:hAnsiTheme="minorHAnsi" w:cstheme="minorHAnsi"/>
                <w:b/>
                <w:sz w:val="22"/>
                <w:szCs w:val="22"/>
                <w:lang w:val="hr-HR" w:eastAsia="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EA714D">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6F3FBD" w:rsidRPr="00185C91">
              <w:rPr>
                <w:rFonts w:asciiTheme="minorHAnsi" w:hAnsiTheme="minorHAnsi" w:cstheme="minorHAnsi"/>
                <w:b/>
                <w:sz w:val="22"/>
              </w:rPr>
              <w:t>31154000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566218">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8C50A6">
              <w:rPr>
                <w:rFonts w:asciiTheme="minorHAnsi" w:eastAsia="Arial" w:hAnsiTheme="minorHAnsi" w:cstheme="minorHAnsi"/>
                <w:b/>
                <w:bCs/>
                <w:spacing w:val="-1"/>
                <w:lang w:val="hr-HR"/>
              </w:rPr>
              <w:t>51-39</w:t>
            </w:r>
            <w:r w:rsidR="00566218">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lastRenderedPageBreak/>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4"/>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2"/>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2"/>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u skladu s troškovnikom koji se nalazi u prilogu i čini sastavni dio ponude.</w:t>
      </w:r>
    </w:p>
    <w:p w:rsidR="00A67C45" w:rsidRPr="005F3624"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5F3624">
        <w:rPr>
          <w:rFonts w:asciiTheme="minorHAnsi" w:eastAsia="Arial" w:hAnsiTheme="minorHAnsi" w:cstheme="minorHAnsi"/>
          <w:spacing w:val="-1"/>
          <w:lang w:val="hr-HR"/>
        </w:rPr>
        <w:t xml:space="preserve">Suglasni smo da </w:t>
      </w:r>
      <w:r w:rsidR="00AC646E" w:rsidRPr="005F3624">
        <w:rPr>
          <w:rFonts w:asciiTheme="minorHAnsi" w:eastAsia="Arial" w:hAnsiTheme="minorHAnsi" w:cstheme="minorHAnsi"/>
          <w:spacing w:val="-1"/>
          <w:lang w:val="hr-HR"/>
        </w:rPr>
        <w:t xml:space="preserve">će se </w:t>
      </w:r>
      <w:r w:rsidR="001A711E" w:rsidRPr="005F3624">
        <w:rPr>
          <w:rFonts w:asciiTheme="minorHAnsi" w:eastAsia="Arial" w:hAnsiTheme="minorHAnsi" w:cstheme="minorHAnsi"/>
          <w:spacing w:val="-1"/>
          <w:lang w:val="hr-HR"/>
        </w:rPr>
        <w:t>isporuči</w:t>
      </w:r>
      <w:r w:rsidR="00AC646E" w:rsidRPr="005F3624">
        <w:rPr>
          <w:rFonts w:asciiTheme="minorHAnsi" w:eastAsia="Arial" w:hAnsiTheme="minorHAnsi" w:cstheme="minorHAnsi"/>
          <w:spacing w:val="-1"/>
          <w:lang w:val="hr-HR"/>
        </w:rPr>
        <w:t xml:space="preserve">ti </w:t>
      </w:r>
      <w:r w:rsidR="001A711E" w:rsidRPr="005F3624">
        <w:rPr>
          <w:rFonts w:asciiTheme="minorHAnsi" w:eastAsia="Arial" w:hAnsiTheme="minorHAnsi" w:cstheme="minorHAnsi"/>
          <w:spacing w:val="-1"/>
          <w:lang w:val="hr-HR"/>
        </w:rPr>
        <w:t>predmet</w:t>
      </w:r>
      <w:r w:rsidR="007A6585" w:rsidRPr="005F3624">
        <w:rPr>
          <w:rFonts w:asciiTheme="minorHAnsi" w:eastAsia="Arial" w:hAnsiTheme="minorHAnsi" w:cstheme="minorHAnsi"/>
          <w:spacing w:val="-1"/>
          <w:lang w:val="hr-HR"/>
        </w:rPr>
        <w:t xml:space="preserve"> nabave temeljem zaključen</w:t>
      </w:r>
      <w:r w:rsidR="005F3624">
        <w:rPr>
          <w:rFonts w:asciiTheme="minorHAnsi" w:eastAsia="Arial" w:hAnsiTheme="minorHAnsi" w:cstheme="minorHAnsi"/>
          <w:spacing w:val="-1"/>
          <w:lang w:val="hr-HR"/>
        </w:rPr>
        <w:t xml:space="preserve">og ugovora o javnoj nabavi robe: </w:t>
      </w:r>
      <w:r w:rsidR="005F3624" w:rsidRPr="00566218">
        <w:rPr>
          <w:rFonts w:asciiTheme="minorHAnsi" w:eastAsia="Arial" w:hAnsiTheme="minorHAnsi" w:cstheme="minorHAnsi"/>
          <w:b/>
          <w:spacing w:val="-1"/>
          <w:lang w:val="hr-HR"/>
        </w:rPr>
        <w:t>za 1</w:t>
      </w:r>
      <w:r w:rsidR="006761E4">
        <w:rPr>
          <w:rFonts w:asciiTheme="minorHAnsi" w:eastAsia="Arial" w:hAnsiTheme="minorHAnsi" w:cstheme="minorHAnsi"/>
          <w:b/>
          <w:spacing w:val="-1"/>
          <w:lang w:val="hr-HR"/>
        </w:rPr>
        <w:t>. UPS unutar 7</w:t>
      </w:r>
      <w:r w:rsidR="005F3624" w:rsidRPr="00566218">
        <w:rPr>
          <w:rFonts w:asciiTheme="minorHAnsi" w:eastAsia="Arial" w:hAnsiTheme="minorHAnsi" w:cstheme="minorHAnsi"/>
          <w:b/>
          <w:spacing w:val="-1"/>
          <w:lang w:val="hr-HR"/>
        </w:rPr>
        <w:t xml:space="preserve"> da</w:t>
      </w:r>
      <w:r w:rsidR="008C50A6">
        <w:rPr>
          <w:rFonts w:asciiTheme="minorHAnsi" w:eastAsia="Arial" w:hAnsiTheme="minorHAnsi" w:cstheme="minorHAnsi"/>
          <w:b/>
          <w:spacing w:val="-1"/>
          <w:lang w:val="hr-HR"/>
        </w:rPr>
        <w:t>na</w:t>
      </w: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se plaćanje vrši u roku od </w:t>
      </w:r>
      <w:r w:rsidR="00CE72ED" w:rsidRPr="00185C91">
        <w:rPr>
          <w:rFonts w:asciiTheme="minorHAnsi" w:eastAsia="Arial" w:hAnsiTheme="minorHAnsi" w:cstheme="minorHAnsi"/>
          <w:spacing w:val="-1"/>
          <w:lang w:val="hr-HR"/>
        </w:rPr>
        <w:t>60</w:t>
      </w:r>
      <w:r w:rsidRPr="00185C91">
        <w:rPr>
          <w:rFonts w:asciiTheme="minorHAnsi" w:eastAsia="Arial" w:hAnsiTheme="minorHAnsi" w:cstheme="minorHAnsi"/>
          <w:spacing w:val="-1"/>
          <w:lang w:val="hr-HR"/>
        </w:rPr>
        <w:t xml:space="preserve"> dana od dana izdavanja računa, po izvršenim ugovornim obvezama. Suglasni smo da se plaćanje vrši u </w:t>
      </w:r>
      <w:r w:rsidR="001A711E"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 xml:space="preserve"> i da se ne odobrava plaćanje predujma.</w:t>
      </w:r>
    </w:p>
    <w:p w:rsidR="00B82DC9" w:rsidRPr="00185C91" w:rsidRDefault="00B82DC9" w:rsidP="00B82DC9">
      <w:pPr>
        <w:pStyle w:val="ListParagraph"/>
        <w:rPr>
          <w:rFonts w:asciiTheme="minorHAnsi" w:eastAsia="Arial" w:hAnsiTheme="minorHAnsi" w:cstheme="minorHAnsi"/>
          <w:spacing w:val="-1"/>
          <w:lang w:val="hr-HR"/>
        </w:rPr>
      </w:pP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će se, ako se naša ponuda prihvati, temeljem provedenog postupka nabave sklopiti ugovor o nabavi </w:t>
      </w:r>
    </w:p>
    <w:p w:rsidR="00A67C45" w:rsidRPr="00185C91" w:rsidRDefault="00A67C45" w:rsidP="00A67C45">
      <w:pPr>
        <w:pStyle w:val="ListParagraph"/>
        <w:tabs>
          <w:tab w:val="left" w:pos="9639"/>
        </w:tabs>
        <w:spacing w:before="70"/>
        <w:ind w:right="77"/>
        <w:jc w:val="both"/>
        <w:rPr>
          <w:rFonts w:asciiTheme="minorHAnsi" w:eastAsia="Arial" w:hAnsiTheme="minorHAnsi" w:cstheme="minorHAnsi"/>
          <w:spacing w:val="-1"/>
          <w:lang w:val="hr-HR"/>
        </w:rPr>
      </w:pPr>
    </w:p>
    <w:p w:rsidR="007A658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224. (prijevara), članka 293. (prijevara u gospodarskom poslovanju) i članka 286. (utaja poreza i </w:t>
      </w:r>
      <w:r w:rsidRPr="00185C91">
        <w:rPr>
          <w:rFonts w:asciiTheme="minorHAnsi" w:hAnsiTheme="minorHAnsi" w:cstheme="minorHAnsi"/>
          <w:sz w:val="22"/>
          <w:szCs w:val="22"/>
          <w:lang w:val="hr-HR" w:eastAsia="hr-HR"/>
        </w:rPr>
        <w:lastRenderedPageBreak/>
        <w:t>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lastRenderedPageBreak/>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w:t>
      </w:r>
      <w:r w:rsidRPr="00185C91">
        <w:rPr>
          <w:rFonts w:asciiTheme="minorHAnsi" w:hAnsiTheme="minorHAnsi" w:cstheme="minorHAnsi"/>
          <w:sz w:val="22"/>
          <w:szCs w:val="22"/>
          <w:lang w:val="hr-HR"/>
        </w:rPr>
        <w:lastRenderedPageBreak/>
        <w:t xml:space="preserve">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Pr="00185C91" w:rsidRDefault="005863C0" w:rsidP="007F6EFD">
      <w:pPr>
        <w:spacing w:before="29" w:line="260" w:lineRule="exact"/>
        <w:rPr>
          <w:rFonts w:asciiTheme="minorHAnsi" w:eastAsia="Arial" w:hAnsiTheme="minorHAnsi" w:cstheme="minorHAnsi"/>
          <w:b/>
          <w:sz w:val="24"/>
          <w:szCs w:val="24"/>
        </w:rPr>
      </w:pPr>
    </w:p>
    <w:p w:rsidR="00C83A9B" w:rsidRPr="00185C91" w:rsidRDefault="00C83A9B" w:rsidP="00580883">
      <w:pPr>
        <w:pStyle w:val="Footer"/>
        <w:tabs>
          <w:tab w:val="clear" w:pos="4536"/>
          <w:tab w:val="clear" w:pos="9072"/>
        </w:tabs>
        <w:rPr>
          <w:rFonts w:asciiTheme="minorHAnsi" w:hAnsiTheme="minorHAnsi" w:cstheme="minorHAnsi"/>
          <w:sz w:val="24"/>
          <w:lang w:val="hr-HR"/>
        </w:rPr>
      </w:pPr>
    </w:p>
    <w:p w:rsidR="00185C91" w:rsidRPr="00185C91" w:rsidRDefault="00185C91" w:rsidP="00580883">
      <w:pPr>
        <w:pStyle w:val="Footer"/>
        <w:tabs>
          <w:tab w:val="clear" w:pos="4536"/>
          <w:tab w:val="clear" w:pos="9072"/>
        </w:tabs>
        <w:rPr>
          <w:rFonts w:asciiTheme="minorHAnsi" w:hAnsiTheme="minorHAnsi" w:cstheme="minorHAnsi"/>
          <w:sz w:val="24"/>
          <w:lang w:val="hr-HR"/>
        </w:rPr>
      </w:pPr>
    </w:p>
    <w:tbl>
      <w:tblPr>
        <w:tblStyle w:val="TableGrid"/>
        <w:tblW w:w="11421" w:type="dxa"/>
        <w:tblInd w:w="-653" w:type="dxa"/>
        <w:tblLayout w:type="fixed"/>
        <w:tblLook w:val="04A0" w:firstRow="1" w:lastRow="0" w:firstColumn="1" w:lastColumn="0" w:noHBand="0" w:noVBand="1"/>
      </w:tblPr>
      <w:tblGrid>
        <w:gridCol w:w="790"/>
        <w:gridCol w:w="7088"/>
        <w:gridCol w:w="992"/>
        <w:gridCol w:w="1276"/>
        <w:gridCol w:w="1275"/>
      </w:tblGrid>
      <w:tr w:rsidR="00342614" w:rsidRPr="00566218" w:rsidTr="006A2593">
        <w:trPr>
          <w:trHeight w:val="615"/>
        </w:trPr>
        <w:tc>
          <w:tcPr>
            <w:tcW w:w="790" w:type="dxa"/>
          </w:tcPr>
          <w:p w:rsidR="00342614" w:rsidRDefault="00342614" w:rsidP="00342614">
            <w:pPr>
              <w:pStyle w:val="Footer"/>
              <w:rPr>
                <w:rFonts w:cstheme="minorHAnsi"/>
                <w:b/>
                <w:bCs/>
                <w:sz w:val="24"/>
                <w:lang w:val="en-US"/>
              </w:rPr>
            </w:pPr>
            <w:r>
              <w:rPr>
                <w:rFonts w:cstheme="minorHAnsi"/>
                <w:b/>
                <w:bCs/>
                <w:sz w:val="24"/>
                <w:lang w:val="en-US"/>
              </w:rPr>
              <w:t>R.BR.</w:t>
            </w:r>
          </w:p>
          <w:p w:rsidR="00342614" w:rsidRPr="00342614" w:rsidRDefault="00342614" w:rsidP="00342614"/>
        </w:tc>
        <w:tc>
          <w:tcPr>
            <w:tcW w:w="7088" w:type="dxa"/>
          </w:tcPr>
          <w:p w:rsidR="00342614" w:rsidRPr="00342614" w:rsidRDefault="00342614" w:rsidP="00342614">
            <w:pPr>
              <w:pStyle w:val="Footer"/>
              <w:rPr>
                <w:rFonts w:cstheme="minorHAnsi"/>
                <w:b/>
                <w:bCs/>
                <w:sz w:val="24"/>
              </w:rPr>
            </w:pPr>
            <w:r w:rsidRPr="00342614">
              <w:rPr>
                <w:rFonts w:cstheme="minorHAnsi"/>
                <w:b/>
                <w:bCs/>
                <w:sz w:val="24"/>
              </w:rPr>
              <w:t>UPS nazivne snage 70 kVA/ 70 kW</w:t>
            </w:r>
          </w:p>
          <w:p w:rsidR="00342614" w:rsidRPr="00566218" w:rsidRDefault="00342614" w:rsidP="00342614">
            <w:pPr>
              <w:pStyle w:val="Footer"/>
              <w:rPr>
                <w:rFonts w:cstheme="minorHAnsi"/>
                <w:b/>
                <w:bCs/>
                <w:sz w:val="24"/>
                <w:lang w:val="en-US"/>
              </w:rPr>
            </w:pPr>
          </w:p>
        </w:tc>
        <w:tc>
          <w:tcPr>
            <w:tcW w:w="992" w:type="dxa"/>
          </w:tcPr>
          <w:p w:rsidR="00342614" w:rsidRPr="00C953EF" w:rsidRDefault="00342614" w:rsidP="00342614">
            <w:r>
              <w:t>Količina</w:t>
            </w:r>
          </w:p>
        </w:tc>
        <w:tc>
          <w:tcPr>
            <w:tcW w:w="1276" w:type="dxa"/>
          </w:tcPr>
          <w:p w:rsidR="00342614" w:rsidRPr="00F704A4" w:rsidRDefault="00342614" w:rsidP="00342614">
            <w:r w:rsidRPr="00F704A4">
              <w:t>Jedinična cijena (bez PDV-a)</w:t>
            </w:r>
          </w:p>
        </w:tc>
        <w:tc>
          <w:tcPr>
            <w:tcW w:w="1275" w:type="dxa"/>
          </w:tcPr>
          <w:p w:rsidR="00342614" w:rsidRDefault="00342614" w:rsidP="00342614">
            <w:r w:rsidRPr="00F704A4">
              <w:t>Jedinična cijena (bez PDV-a)</w:t>
            </w:r>
          </w:p>
        </w:tc>
      </w:tr>
      <w:tr w:rsidR="00342614" w:rsidRPr="00566218" w:rsidTr="006A2593">
        <w:trPr>
          <w:trHeight w:val="300"/>
        </w:trPr>
        <w:tc>
          <w:tcPr>
            <w:tcW w:w="790" w:type="dxa"/>
            <w:vMerge w:val="restart"/>
          </w:tcPr>
          <w:p w:rsidR="00342614" w:rsidRPr="00342614" w:rsidRDefault="00342614" w:rsidP="00342614">
            <w:pPr>
              <w:pStyle w:val="Footer"/>
              <w:jc w:val="center"/>
              <w:rPr>
                <w:rFonts w:cstheme="minorHAnsi"/>
                <w:b/>
                <w:sz w:val="24"/>
                <w:lang w:val="en-US"/>
              </w:rPr>
            </w:pPr>
          </w:p>
          <w:p w:rsidR="00342614" w:rsidRPr="00342614" w:rsidRDefault="00342614" w:rsidP="00342614">
            <w:pPr>
              <w:pStyle w:val="Footer"/>
              <w:jc w:val="center"/>
              <w:rPr>
                <w:rFonts w:cstheme="minorHAnsi"/>
                <w:b/>
                <w:sz w:val="24"/>
                <w:lang w:val="en-US"/>
              </w:rPr>
            </w:pPr>
          </w:p>
          <w:p w:rsidR="00342614" w:rsidRPr="00342614" w:rsidRDefault="00342614" w:rsidP="00342614">
            <w:pPr>
              <w:pStyle w:val="Footer"/>
              <w:jc w:val="center"/>
              <w:rPr>
                <w:rFonts w:cstheme="minorHAnsi"/>
                <w:b/>
                <w:sz w:val="24"/>
                <w:lang w:val="en-US"/>
              </w:rPr>
            </w:pPr>
          </w:p>
          <w:p w:rsidR="00342614" w:rsidRPr="00342614" w:rsidRDefault="00342614" w:rsidP="00342614">
            <w:pPr>
              <w:pStyle w:val="Footer"/>
              <w:jc w:val="center"/>
              <w:rPr>
                <w:rFonts w:cstheme="minorHAnsi"/>
                <w:b/>
                <w:sz w:val="24"/>
                <w:lang w:val="en-US"/>
              </w:rPr>
            </w:pPr>
            <w:r w:rsidRPr="00342614">
              <w:rPr>
                <w:rFonts w:cstheme="minorHAnsi"/>
                <w:b/>
                <w:sz w:val="24"/>
                <w:lang w:val="en-US"/>
              </w:rPr>
              <w:t>1</w:t>
            </w:r>
          </w:p>
        </w:tc>
        <w:tc>
          <w:tcPr>
            <w:tcW w:w="7088" w:type="dxa"/>
            <w:vMerge w:val="restart"/>
          </w:tcPr>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Ulaz</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Nazivni napon: 380/400 VAC (3 faze + N + G)</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Dozvoljeno odstupanje napona: ±20% pri 100% opterećenju / -40% pri 70% opterećenju</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Frekvencija: 50 Hz / 60 Hz ±5%</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Faktor snage (pri 100% opterećenju): ≥ 0,99</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Ukupna harmonička distorzija ulazne struje (THDI): ≤ 3%</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Distorzija napona: ≤ 10%</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Zaštite: Osigurači, odstupanje napona i frekvencije izvan dozvoljenih granica, ograničenje ulazne snage, indikator redoslijeda faza</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Izlaz</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Nazivna snaga: 70 kVA / 70 kW</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Faktor snage: ≥ 0,99</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Izlazni napon: 380/400 VAC (3 faze + N) ±1% (415 VAC opcionalno)</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Frekvencija: 50 Hz / 60 Hz</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Tolerancija frekvencije:</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Sinkronizirano s mrežom: ±2% (podesivo)</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Samostalni rad: ±0,1%</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Učinkovitost: Do 95%</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Crest faktor: 3:1</w:t>
            </w:r>
          </w:p>
          <w:p w:rsidR="00342614" w:rsidRPr="00342614" w:rsidRDefault="00342614" w:rsidP="00342614">
            <w:pPr>
              <w:spacing w:before="29" w:line="260" w:lineRule="exact"/>
              <w:rPr>
                <w:rFonts w:cstheme="minorHAnsi"/>
                <w:sz w:val="24"/>
                <w:lang w:val="en-US"/>
              </w:rPr>
            </w:pP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Dozvoljeno preopterećenje:</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100% - 125% opterećenja: 15 minuta</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125% - 150% opterećenja: 5 minuta</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Dodatne zaštite: zaštita od kratkog spoja, odstupanje napona, odstupanje DC napona, ograničenje struje</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Harmoničko izobličenje napona (THDv): ≤ 3% pri 100% linearnom opterećenju</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Opće značajke</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Standardi: EN62040-1, EN62040-2, EN62040-3</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Korisničko sučelje:</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LCD zaslon s 4 linije</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LED indikatori</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Zvučni signal</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lastRenderedPageBreak/>
              <w:t>-</w:t>
            </w:r>
            <w:r w:rsidRPr="00342614">
              <w:rPr>
                <w:rFonts w:cstheme="minorHAnsi"/>
                <w:sz w:val="24"/>
                <w:lang w:val="en-US"/>
              </w:rPr>
              <w:tab/>
              <w:t>Prikaz:</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P-N napon, P-P napon, Struja, Snaga, Crest faktor, Frekvencija, Faktor snage, vrijeme servisa, status baterije</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brojač radnih sati</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 xml:space="preserve">Komunikacije: RS232, RS 485 / beznaponski kontakti </w:t>
            </w:r>
          </w:p>
          <w:p w:rsidR="00342614" w:rsidRPr="00342614" w:rsidRDefault="00342614" w:rsidP="00342614">
            <w:pPr>
              <w:spacing w:before="29" w:line="260" w:lineRule="exact"/>
              <w:rPr>
                <w:rFonts w:cstheme="minorHAnsi"/>
                <w:sz w:val="24"/>
                <w:lang w:val="en-US"/>
              </w:rPr>
            </w:pPr>
            <w:r w:rsidRPr="00342614">
              <w:rPr>
                <w:rFonts w:cstheme="minorHAnsi"/>
                <w:sz w:val="24"/>
                <w:lang w:val="en-US"/>
              </w:rPr>
              <w:t>/ slot za SNMP/ SNMP + software za Multi UPS nadzor / kompenzacija temperature baterije (opcija)</w:t>
            </w:r>
          </w:p>
          <w:p w:rsidR="00342614" w:rsidRPr="00566218" w:rsidRDefault="00342614" w:rsidP="00342614">
            <w:pPr>
              <w:spacing w:before="29" w:line="260" w:lineRule="exact"/>
              <w:rPr>
                <w:rFonts w:cstheme="minorHAnsi"/>
                <w:sz w:val="24"/>
                <w:lang w:val="en-US"/>
              </w:rPr>
            </w:pPr>
            <w:r w:rsidRPr="00342614">
              <w:rPr>
                <w:rFonts w:cstheme="minorHAnsi"/>
                <w:sz w:val="24"/>
                <w:lang w:val="en-US"/>
              </w:rPr>
              <w:t>-</w:t>
            </w:r>
            <w:r w:rsidRPr="00342614">
              <w:rPr>
                <w:rFonts w:cstheme="minorHAnsi"/>
                <w:sz w:val="24"/>
                <w:lang w:val="en-US"/>
              </w:rPr>
              <w:tab/>
              <w:t>Zaslon: LCD + LED</w:t>
            </w:r>
          </w:p>
        </w:tc>
        <w:tc>
          <w:tcPr>
            <w:tcW w:w="992" w:type="dxa"/>
            <w:vMerge w:val="restart"/>
          </w:tcPr>
          <w:p w:rsidR="00342614" w:rsidRDefault="00342614" w:rsidP="00566218">
            <w:pPr>
              <w:pStyle w:val="Footer"/>
              <w:rPr>
                <w:rFonts w:cstheme="minorHAnsi"/>
                <w:sz w:val="24"/>
                <w:lang w:val="en-US"/>
              </w:rPr>
            </w:pPr>
          </w:p>
          <w:p w:rsidR="006A2593" w:rsidRDefault="006A2593" w:rsidP="00566218">
            <w:pPr>
              <w:pStyle w:val="Footer"/>
              <w:rPr>
                <w:rFonts w:cstheme="minorHAnsi"/>
                <w:sz w:val="24"/>
                <w:lang w:val="en-US"/>
              </w:rPr>
            </w:pPr>
          </w:p>
          <w:p w:rsidR="006A2593" w:rsidRPr="006A2593" w:rsidRDefault="006A2593" w:rsidP="006A2593">
            <w:pPr>
              <w:pStyle w:val="Footer"/>
              <w:jc w:val="center"/>
              <w:rPr>
                <w:rFonts w:cstheme="minorHAnsi"/>
                <w:b/>
                <w:sz w:val="24"/>
                <w:lang w:val="en-US"/>
              </w:rPr>
            </w:pPr>
            <w:r w:rsidRPr="006A2593">
              <w:rPr>
                <w:rFonts w:cstheme="minorHAnsi"/>
                <w:b/>
                <w:sz w:val="24"/>
                <w:lang w:val="en-US"/>
              </w:rPr>
              <w:t>1</w:t>
            </w:r>
          </w:p>
        </w:tc>
        <w:tc>
          <w:tcPr>
            <w:tcW w:w="1276" w:type="dxa"/>
            <w:vMerge w:val="restart"/>
          </w:tcPr>
          <w:p w:rsidR="00342614" w:rsidRPr="00566218" w:rsidRDefault="00342614" w:rsidP="00DA0E9A">
            <w:pPr>
              <w:pStyle w:val="Footer"/>
              <w:jc w:val="center"/>
              <w:rPr>
                <w:rFonts w:cstheme="minorHAnsi"/>
                <w:sz w:val="24"/>
                <w:lang w:val="en-US"/>
              </w:rPr>
            </w:pPr>
          </w:p>
        </w:tc>
        <w:tc>
          <w:tcPr>
            <w:tcW w:w="1275" w:type="dxa"/>
            <w:vMerge w:val="restart"/>
          </w:tcPr>
          <w:p w:rsidR="00342614" w:rsidRPr="00566218" w:rsidRDefault="00342614" w:rsidP="00566218">
            <w:pPr>
              <w:pStyle w:val="Footer"/>
              <w:rPr>
                <w:rFonts w:cstheme="minorHAnsi"/>
                <w:sz w:val="24"/>
                <w:lang w:val="en-US"/>
              </w:rPr>
            </w:pPr>
          </w:p>
        </w:tc>
      </w:tr>
      <w:tr w:rsidR="00342614" w:rsidRPr="00566218" w:rsidTr="006A2593">
        <w:trPr>
          <w:trHeight w:val="315"/>
        </w:trPr>
        <w:tc>
          <w:tcPr>
            <w:tcW w:w="790" w:type="dxa"/>
            <w:vMerge/>
          </w:tcPr>
          <w:p w:rsidR="00342614" w:rsidRPr="00566218" w:rsidRDefault="00342614" w:rsidP="00566218">
            <w:pPr>
              <w:pStyle w:val="Footer"/>
              <w:rPr>
                <w:rFonts w:cstheme="minorHAnsi"/>
                <w:sz w:val="24"/>
                <w:lang w:val="en-US"/>
              </w:rPr>
            </w:pPr>
          </w:p>
        </w:tc>
        <w:tc>
          <w:tcPr>
            <w:tcW w:w="7088" w:type="dxa"/>
            <w:vMerge/>
          </w:tcPr>
          <w:p w:rsidR="00342614" w:rsidRPr="00566218" w:rsidRDefault="00342614" w:rsidP="00566218">
            <w:pPr>
              <w:pStyle w:val="Footer"/>
              <w:rPr>
                <w:rFonts w:cstheme="minorHAnsi"/>
                <w:sz w:val="24"/>
                <w:lang w:val="en-US"/>
              </w:rPr>
            </w:pPr>
          </w:p>
        </w:tc>
        <w:tc>
          <w:tcPr>
            <w:tcW w:w="992" w:type="dxa"/>
            <w:vMerge/>
          </w:tcPr>
          <w:p w:rsidR="00342614" w:rsidRPr="00566218" w:rsidRDefault="00342614" w:rsidP="00566218">
            <w:pPr>
              <w:pStyle w:val="Footer"/>
              <w:rPr>
                <w:rFonts w:cstheme="minorHAnsi"/>
                <w:sz w:val="24"/>
                <w:lang w:val="en-US"/>
              </w:rPr>
            </w:pPr>
          </w:p>
        </w:tc>
        <w:tc>
          <w:tcPr>
            <w:tcW w:w="1276" w:type="dxa"/>
            <w:vMerge/>
          </w:tcPr>
          <w:p w:rsidR="00342614" w:rsidRPr="00566218" w:rsidRDefault="00342614" w:rsidP="00566218">
            <w:pPr>
              <w:pStyle w:val="Footer"/>
              <w:rPr>
                <w:rFonts w:cstheme="minorHAnsi"/>
                <w:sz w:val="24"/>
                <w:lang w:val="en-US"/>
              </w:rPr>
            </w:pPr>
          </w:p>
        </w:tc>
        <w:tc>
          <w:tcPr>
            <w:tcW w:w="1275" w:type="dxa"/>
            <w:vMerge/>
          </w:tcPr>
          <w:p w:rsidR="00342614" w:rsidRPr="00566218" w:rsidRDefault="00342614" w:rsidP="00566218">
            <w:pPr>
              <w:pStyle w:val="Footer"/>
              <w:rPr>
                <w:rFonts w:cstheme="minorHAnsi"/>
                <w:sz w:val="24"/>
                <w:lang w:val="en-US"/>
              </w:rPr>
            </w:pPr>
          </w:p>
        </w:tc>
      </w:tr>
    </w:tbl>
    <w:p w:rsidR="00185C91" w:rsidRPr="00185C91" w:rsidRDefault="00185C91" w:rsidP="00580883">
      <w:pPr>
        <w:pStyle w:val="Footer"/>
        <w:tabs>
          <w:tab w:val="clear" w:pos="4536"/>
          <w:tab w:val="clear" w:pos="9072"/>
        </w:tabs>
        <w:rPr>
          <w:rFonts w:asciiTheme="minorHAnsi" w:hAnsiTheme="minorHAnsi" w:cstheme="minorHAnsi"/>
          <w:sz w:val="24"/>
          <w:lang w:val="hr-HR"/>
        </w:rPr>
      </w:pPr>
    </w:p>
    <w:p w:rsidR="00185C91" w:rsidRDefault="00185C91" w:rsidP="00580883">
      <w:pPr>
        <w:pStyle w:val="Footer"/>
        <w:tabs>
          <w:tab w:val="clear" w:pos="4536"/>
          <w:tab w:val="clear" w:pos="9072"/>
        </w:tabs>
        <w:rPr>
          <w:rFonts w:asciiTheme="minorHAnsi" w:hAnsiTheme="minorHAnsi" w:cstheme="minorHAnsi"/>
          <w:sz w:val="24"/>
          <w:lang w:val="hr-HR"/>
        </w:rPr>
      </w:pPr>
    </w:p>
    <w:tbl>
      <w:tblPr>
        <w:tblW w:w="11057" w:type="dxa"/>
        <w:tblInd w:w="-577" w:type="dxa"/>
        <w:tblLayout w:type="fixed"/>
        <w:tblCellMar>
          <w:left w:w="0" w:type="dxa"/>
          <w:right w:w="0" w:type="dxa"/>
        </w:tblCellMar>
        <w:tblLook w:val="04A0" w:firstRow="1" w:lastRow="0" w:firstColumn="1" w:lastColumn="0" w:noHBand="0" w:noVBand="1"/>
      </w:tblPr>
      <w:tblGrid>
        <w:gridCol w:w="709"/>
        <w:gridCol w:w="3686"/>
        <w:gridCol w:w="2409"/>
        <w:gridCol w:w="4253"/>
      </w:tblGrid>
      <w:tr w:rsidR="00566218" w:rsidRPr="00185C91" w:rsidTr="00DA0E9A">
        <w:trPr>
          <w:trHeight w:val="255"/>
        </w:trPr>
        <w:tc>
          <w:tcPr>
            <w:tcW w:w="709" w:type="dxa"/>
            <w:tcBorders>
              <w:top w:val="single" w:sz="8" w:space="0" w:color="auto"/>
              <w:left w:val="single" w:sz="8" w:space="0" w:color="auto"/>
              <w:bottom w:val="nil"/>
              <w:right w:val="single" w:sz="8" w:space="0" w:color="auto"/>
            </w:tcBorders>
            <w:vAlign w:val="bottom"/>
            <w:hideMark/>
          </w:tcPr>
          <w:p w:rsidR="00566218" w:rsidRPr="00185C91" w:rsidRDefault="00566218" w:rsidP="00566218">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686" w:type="dxa"/>
            <w:tcBorders>
              <w:top w:val="single" w:sz="8" w:space="0" w:color="auto"/>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2409" w:type="dxa"/>
            <w:tcBorders>
              <w:top w:val="single" w:sz="8" w:space="0" w:color="auto"/>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4253" w:type="dxa"/>
            <w:tcBorders>
              <w:top w:val="single" w:sz="8" w:space="0" w:color="auto"/>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566218" w:rsidRPr="00185C91" w:rsidTr="00DA0E9A">
        <w:trPr>
          <w:trHeight w:val="241"/>
        </w:trPr>
        <w:tc>
          <w:tcPr>
            <w:tcW w:w="709" w:type="dxa"/>
            <w:tcBorders>
              <w:top w:val="nil"/>
              <w:left w:val="single" w:sz="8" w:space="0" w:color="auto"/>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2409"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5"/>
        </w:trPr>
        <w:tc>
          <w:tcPr>
            <w:tcW w:w="709" w:type="dxa"/>
            <w:tcBorders>
              <w:top w:val="nil"/>
              <w:left w:val="single" w:sz="8" w:space="0" w:color="auto"/>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686" w:type="dxa"/>
            <w:tcBorders>
              <w:top w:val="nil"/>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409" w:type="dxa"/>
            <w:tcBorders>
              <w:top w:val="nil"/>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2"/>
        </w:trPr>
        <w:tc>
          <w:tcPr>
            <w:tcW w:w="709"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(iskazana u eurima)</w:t>
            </w:r>
          </w:p>
        </w:tc>
        <w:tc>
          <w:tcPr>
            <w:tcW w:w="2409"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4"/>
        </w:trPr>
        <w:tc>
          <w:tcPr>
            <w:tcW w:w="709" w:type="dxa"/>
            <w:tcBorders>
              <w:top w:val="single" w:sz="4" w:space="0" w:color="auto"/>
              <w:left w:val="single" w:sz="8"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686" w:type="dxa"/>
            <w:tcBorders>
              <w:top w:val="single" w:sz="4" w:space="0" w:color="auto"/>
              <w:left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409"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4"/>
        </w:trPr>
        <w:tc>
          <w:tcPr>
            <w:tcW w:w="709"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 u eurima)</w:t>
            </w:r>
          </w:p>
        </w:tc>
        <w:tc>
          <w:tcPr>
            <w:tcW w:w="2409"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5"/>
        </w:trPr>
        <w:tc>
          <w:tcPr>
            <w:tcW w:w="709" w:type="dxa"/>
            <w:tcBorders>
              <w:top w:val="single" w:sz="4" w:space="0" w:color="auto"/>
              <w:left w:val="single" w:sz="8"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686" w:type="dxa"/>
            <w:tcBorders>
              <w:top w:val="single" w:sz="4" w:space="0" w:color="auto"/>
              <w:left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409"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2"/>
        </w:trPr>
        <w:tc>
          <w:tcPr>
            <w:tcW w:w="709"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r w:rsidR="00DA0E9A">
              <w:rPr>
                <w:rFonts w:asciiTheme="minorHAnsi" w:eastAsia="Arial" w:hAnsiTheme="minorHAnsi" w:cstheme="minorHAnsi"/>
                <w:b/>
                <w:bCs/>
                <w:spacing w:val="-1"/>
                <w:lang w:val="hr-HR"/>
              </w:rPr>
              <w:t xml:space="preserve"> </w:t>
            </w:r>
            <w:r w:rsidR="00DA0E9A" w:rsidRPr="00185C91">
              <w:rPr>
                <w:rFonts w:asciiTheme="minorHAnsi" w:eastAsia="Arial" w:hAnsiTheme="minorHAnsi" w:cstheme="minorHAnsi"/>
                <w:spacing w:val="-1"/>
                <w:lang w:val="hr-HR"/>
              </w:rPr>
              <w:t>(iskazana u eurima)</w:t>
            </w:r>
          </w:p>
        </w:tc>
        <w:tc>
          <w:tcPr>
            <w:tcW w:w="2409"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bl>
    <w:p w:rsidR="00DA0E9A" w:rsidRDefault="00DA0E9A" w:rsidP="007A654D">
      <w:pPr>
        <w:spacing w:before="29" w:line="260" w:lineRule="exact"/>
        <w:rPr>
          <w:rFonts w:asciiTheme="minorHAnsi" w:eastAsia="Arial" w:hAnsiTheme="minorHAnsi" w:cstheme="minorHAnsi"/>
        </w:rPr>
      </w:pPr>
    </w:p>
    <w:p w:rsidR="006A2593" w:rsidRPr="00185C91" w:rsidRDefault="006A2593" w:rsidP="007A654D">
      <w:pPr>
        <w:spacing w:before="29" w:line="260" w:lineRule="exact"/>
        <w:rPr>
          <w:rFonts w:asciiTheme="minorHAnsi" w:eastAsia="Arial" w:hAnsiTheme="minorHAnsi" w:cstheme="minorHAnsi"/>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FD9" w:rsidRDefault="00CE6FD9">
      <w:r>
        <w:separator/>
      </w:r>
    </w:p>
  </w:endnote>
  <w:endnote w:type="continuationSeparator" w:id="0">
    <w:p w:rsidR="00CE6FD9" w:rsidRDefault="00CE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8C50A6" w:rsidRDefault="008C50A6" w:rsidP="003848ED">
        <w:pPr>
          <w:pStyle w:val="Footer"/>
        </w:pPr>
        <w:r>
          <w:t xml:space="preserve">Klinički bolnički centar Sestre milosrdnice                                                                                                                        </w:t>
        </w:r>
        <w:r>
          <w:fldChar w:fldCharType="begin"/>
        </w:r>
        <w:r>
          <w:instrText xml:space="preserve"> PAGE   \* MERGEFORMAT </w:instrText>
        </w:r>
        <w:r>
          <w:fldChar w:fldCharType="separate"/>
        </w:r>
        <w:r w:rsidR="00EB0C85">
          <w:rPr>
            <w:noProof/>
          </w:rPr>
          <w:t>10</w:t>
        </w:r>
        <w:r>
          <w:rPr>
            <w:noProof/>
          </w:rPr>
          <w:fldChar w:fldCharType="end"/>
        </w:r>
      </w:p>
    </w:sdtContent>
  </w:sdt>
  <w:p w:rsidR="008C50A6" w:rsidRDefault="008C50A6">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FD9" w:rsidRDefault="00CE6FD9">
      <w:r>
        <w:separator/>
      </w:r>
    </w:p>
  </w:footnote>
  <w:footnote w:type="continuationSeparator" w:id="0">
    <w:p w:rsidR="00CE6FD9" w:rsidRDefault="00CE6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8"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9"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0"/>
  </w:num>
  <w:num w:numId="5">
    <w:abstractNumId w:val="6"/>
  </w:num>
  <w:num w:numId="6">
    <w:abstractNumId w:val="19"/>
  </w:num>
  <w:num w:numId="7">
    <w:abstractNumId w:val="22"/>
  </w:num>
  <w:num w:numId="8">
    <w:abstractNumId w:val="21"/>
  </w:num>
  <w:num w:numId="9">
    <w:abstractNumId w:val="2"/>
  </w:num>
  <w:num w:numId="10">
    <w:abstractNumId w:val="12"/>
  </w:num>
  <w:num w:numId="11">
    <w:abstractNumId w:val="14"/>
  </w:num>
  <w:num w:numId="12">
    <w:abstractNumId w:val="9"/>
  </w:num>
  <w:num w:numId="13">
    <w:abstractNumId w:val="8"/>
  </w:num>
  <w:num w:numId="14">
    <w:abstractNumId w:val="23"/>
  </w:num>
  <w:num w:numId="15">
    <w:abstractNumId w:val="16"/>
  </w:num>
  <w:num w:numId="16">
    <w:abstractNumId w:val="18"/>
  </w:num>
  <w:num w:numId="17">
    <w:abstractNumId w:val="4"/>
  </w:num>
  <w:num w:numId="18">
    <w:abstractNumId w:val="13"/>
  </w:num>
  <w:num w:numId="19">
    <w:abstractNumId w:val="15"/>
  </w:num>
  <w:num w:numId="20">
    <w:abstractNumId w:val="5"/>
  </w:num>
  <w:num w:numId="21">
    <w:abstractNumId w:val="17"/>
  </w:num>
  <w:num w:numId="22">
    <w:abstractNumId w:val="7"/>
  </w:num>
  <w:num w:numId="23">
    <w:abstractNumId w:val="1"/>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614"/>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008"/>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178"/>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593"/>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69B3"/>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0A6"/>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4B1A"/>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D9"/>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0C85"/>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7270-8943-4C1C-BFF3-DB1949A2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7690</Words>
  <Characters>43835</Characters>
  <Application>Microsoft Office Word</Application>
  <DocSecurity>0</DocSecurity>
  <Lines>365</Lines>
  <Paragraphs>102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2025-05-19T12:31:00Z</dcterms:modified>
</cp:coreProperties>
</file>