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4C" w:rsidRPr="00BB4C88" w:rsidRDefault="009E024C" w:rsidP="009E024C">
      <w:pPr>
        <w:spacing w:before="120"/>
        <w:ind w:right="90"/>
        <w:rPr>
          <w:rFonts w:ascii="Times New Roman" w:hAnsi="Times New Roman" w:cs="Times New Roman"/>
          <w:b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>26395 Klinički bolnički centar Sestre milosrdnice</w:t>
      </w:r>
    </w:p>
    <w:p w:rsidR="009E024C" w:rsidRPr="00451896" w:rsidRDefault="008B7057" w:rsidP="008B7057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896">
        <w:rPr>
          <w:rFonts w:ascii="Times New Roman" w:hAnsi="Times New Roman" w:cs="Times New Roman"/>
          <w:b/>
          <w:sz w:val="28"/>
          <w:szCs w:val="28"/>
        </w:rPr>
        <w:t>III OBRAZLOŽENJ</w:t>
      </w:r>
      <w:r w:rsidR="00451896" w:rsidRPr="00451896">
        <w:rPr>
          <w:rFonts w:ascii="Times New Roman" w:hAnsi="Times New Roman" w:cs="Times New Roman"/>
          <w:b/>
          <w:sz w:val="28"/>
          <w:szCs w:val="28"/>
        </w:rPr>
        <w:t>A</w:t>
      </w:r>
    </w:p>
    <w:p w:rsidR="009E024C" w:rsidRPr="00451896" w:rsidRDefault="009E024C" w:rsidP="009E024C">
      <w:pPr>
        <w:spacing w:before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896">
        <w:rPr>
          <w:rFonts w:ascii="Times New Roman" w:hAnsi="Times New Roman" w:cs="Times New Roman"/>
          <w:b/>
          <w:sz w:val="28"/>
          <w:szCs w:val="28"/>
        </w:rPr>
        <w:t xml:space="preserve">1. OBRAZLOŽENJE OPĆEG DIJELA FINANCIJSKOG PLANA </w:t>
      </w:r>
    </w:p>
    <w:p w:rsidR="009E024C" w:rsidRPr="00BB4C88" w:rsidRDefault="009E024C" w:rsidP="009E024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24C" w:rsidRPr="00BB4C88" w:rsidRDefault="009E024C" w:rsidP="009E024C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>UVOD</w:t>
      </w:r>
    </w:p>
    <w:p w:rsidR="009E024C" w:rsidRPr="00BB4C88" w:rsidRDefault="009E024C" w:rsidP="00451896">
      <w:pPr>
        <w:spacing w:before="120" w:after="0"/>
        <w:ind w:right="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Klinički bolnički centar Sestre milosrdnice je zdravstvena ustanova u vlasništvu Republike Hrvatske koja obavlja djelatnost stacionarne zdravstvene zaštite i specijalističko-konzilijarne zdravstvene zaštite (ordinacije, dijagnostičke jedinice, dnevne bolnice i jednodnevne kirurgije, hemodijaliza), te znanstveno nastavnu djelatnost, klinička istraživanja i medicinska vještačenja. U obavljanju poslova sudjeluje još i bolnička ljekarna, odjel medicinske fizike i nemedicinske djelatnosti.</w:t>
      </w:r>
    </w:p>
    <w:p w:rsidR="0054599C" w:rsidRPr="00BB4C88" w:rsidRDefault="0054599C" w:rsidP="00451896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 xml:space="preserve">Ove Izmjene i dopune Financijskog plana Kliničkog bolničkog centra Sestre milosrdnice izrađene su sukladno odredbama Zakona o proračunu, te uputama Ministarstva zdravstva za izradu državnog proračuna Republike Hrvatske za razdoblje 2024. -2026. godine, te su usklađene s Državnim proračunom Republike Hrvatske za 2024. godinu i projekcijama za 2025. i 2026. godinu. </w:t>
      </w:r>
    </w:p>
    <w:p w:rsidR="0054599C" w:rsidRPr="00BB4C88" w:rsidRDefault="0054599C" w:rsidP="00451896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Projekcijske godine 2025. i 2026. ostaju nepromijenjene.</w:t>
      </w:r>
    </w:p>
    <w:p w:rsidR="009E024C" w:rsidRPr="00BB4C88" w:rsidRDefault="009E024C" w:rsidP="00451896">
      <w:pPr>
        <w:spacing w:before="120" w:after="0"/>
        <w:ind w:right="9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Uk</w:t>
      </w:r>
      <w:r w:rsidR="007D7426" w:rsidRPr="00BB4C88">
        <w:rPr>
          <w:rFonts w:ascii="Times New Roman" w:hAnsi="Times New Roman" w:cs="Times New Roman"/>
          <w:sz w:val="24"/>
          <w:szCs w:val="24"/>
        </w:rPr>
        <w:t xml:space="preserve">upno planirani prihodi iznose </w:t>
      </w:r>
      <w:r w:rsidR="0054599C" w:rsidRPr="00BB4C88">
        <w:rPr>
          <w:rFonts w:ascii="Times New Roman" w:hAnsi="Times New Roman" w:cs="Times New Roman"/>
          <w:sz w:val="24"/>
          <w:szCs w:val="24"/>
        </w:rPr>
        <w:t>318.424.671</w:t>
      </w:r>
      <w:r w:rsidR="00BB4C88" w:rsidRPr="00BB4C88">
        <w:rPr>
          <w:rFonts w:ascii="Times New Roman" w:hAnsi="Times New Roman" w:cs="Times New Roman"/>
          <w:sz w:val="24"/>
          <w:szCs w:val="24"/>
        </w:rPr>
        <w:t xml:space="preserve"> euro</w:t>
      </w:r>
      <w:r w:rsidRPr="00BB4C88">
        <w:rPr>
          <w:rFonts w:ascii="Times New Roman" w:hAnsi="Times New Roman" w:cs="Times New Roman"/>
          <w:sz w:val="24"/>
          <w:szCs w:val="24"/>
        </w:rPr>
        <w:t xml:space="preserve">, dok su ukupni rashodi planirani u iznosu od </w:t>
      </w:r>
      <w:r w:rsidR="0054599C" w:rsidRPr="00BB4C88">
        <w:rPr>
          <w:rFonts w:ascii="Times New Roman" w:hAnsi="Times New Roman" w:cs="Times New Roman"/>
          <w:sz w:val="24"/>
          <w:szCs w:val="24"/>
        </w:rPr>
        <w:t>319.721.147</w:t>
      </w:r>
      <w:r w:rsidRPr="00BB4C88">
        <w:rPr>
          <w:rFonts w:ascii="Times New Roman" w:hAnsi="Times New Roman" w:cs="Times New Roman"/>
          <w:sz w:val="24"/>
          <w:szCs w:val="24"/>
        </w:rPr>
        <w:t xml:space="preserve"> eura. Razlika je nivelirana prijenosom sredstava iz prethodne godine i prijenosom sredstava u slijedeću godinu koji se ne iskazuju kao prihodi i rashodi (naveli smo ih ispod tablice prihoda i tablice rashoda po izvorima financiranja), već su prikazani u Sažetku Računa financiranja i uravnotežuju financijski plan na način da je razlika između planiranih prihoda i rashoda svedena na 0 eura.</w:t>
      </w:r>
    </w:p>
    <w:p w:rsidR="007E5A4B" w:rsidRPr="00BB4C88" w:rsidRDefault="007E5A4B" w:rsidP="0045189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4C" w:rsidRPr="00BB4C88" w:rsidRDefault="009E024C" w:rsidP="004518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CB5EE7" w:rsidRPr="00BB4C88" w:rsidRDefault="009E024C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A64DF4" w:rsidRPr="00BB4C88">
        <w:rPr>
          <w:rFonts w:ascii="Times New Roman" w:hAnsi="Times New Roman" w:cs="Times New Roman"/>
          <w:sz w:val="24"/>
          <w:szCs w:val="24"/>
        </w:rPr>
        <w:t xml:space="preserve">za 2024. godinu </w:t>
      </w:r>
      <w:r w:rsidR="00CB5EE7" w:rsidRPr="00BB4C88">
        <w:rPr>
          <w:rFonts w:ascii="Times New Roman" w:hAnsi="Times New Roman" w:cs="Times New Roman"/>
          <w:sz w:val="24"/>
          <w:szCs w:val="24"/>
        </w:rPr>
        <w:t xml:space="preserve">Izmjenama i dopunama financijskog plana </w:t>
      </w:r>
      <w:r w:rsidRPr="00BB4C88">
        <w:rPr>
          <w:rFonts w:ascii="Times New Roman" w:hAnsi="Times New Roman" w:cs="Times New Roman"/>
          <w:sz w:val="24"/>
          <w:szCs w:val="24"/>
        </w:rPr>
        <w:t xml:space="preserve">za 2024. godinu </w:t>
      </w:r>
      <w:r w:rsidR="00BB4C88" w:rsidRPr="00BB4C88">
        <w:rPr>
          <w:rFonts w:ascii="Times New Roman" w:hAnsi="Times New Roman" w:cs="Times New Roman"/>
          <w:sz w:val="24"/>
          <w:szCs w:val="24"/>
        </w:rPr>
        <w:t xml:space="preserve">povećani su za 32.031.607 eura </w:t>
      </w:r>
      <w:r w:rsidR="00CB5EE7" w:rsidRPr="00BB4C88">
        <w:rPr>
          <w:rFonts w:ascii="Times New Roman" w:hAnsi="Times New Roman" w:cs="Times New Roman"/>
          <w:sz w:val="24"/>
          <w:szCs w:val="24"/>
        </w:rPr>
        <w:t>ili 11,18 %</w:t>
      </w:r>
      <w:r w:rsidR="00BB4C88" w:rsidRPr="00BB4C88">
        <w:rPr>
          <w:rFonts w:ascii="Times New Roman" w:hAnsi="Times New Roman" w:cs="Times New Roman"/>
          <w:sz w:val="24"/>
          <w:szCs w:val="24"/>
        </w:rPr>
        <w:t xml:space="preserve"> više</w:t>
      </w:r>
      <w:r w:rsidR="00CB5EE7" w:rsidRPr="00BB4C88">
        <w:rPr>
          <w:rFonts w:ascii="Times New Roman" w:hAnsi="Times New Roman" w:cs="Times New Roman"/>
          <w:sz w:val="24"/>
          <w:szCs w:val="24"/>
        </w:rPr>
        <w:t xml:space="preserve"> u odnosu na tekući plan te </w:t>
      </w:r>
      <w:r w:rsidR="00A64DF4" w:rsidRPr="00BB4C88">
        <w:rPr>
          <w:rFonts w:ascii="Times New Roman" w:hAnsi="Times New Roman" w:cs="Times New Roman"/>
          <w:sz w:val="24"/>
          <w:szCs w:val="24"/>
        </w:rPr>
        <w:t>su planirani u iznosu od</w:t>
      </w:r>
      <w:r w:rsidR="00CB5EE7" w:rsidRPr="00BB4C88">
        <w:rPr>
          <w:rFonts w:ascii="Times New Roman" w:hAnsi="Times New Roman" w:cs="Times New Roman"/>
          <w:sz w:val="24"/>
          <w:szCs w:val="24"/>
        </w:rPr>
        <w:t xml:space="preserve"> 318.424.671 euro</w:t>
      </w:r>
      <w:r w:rsidR="00A64DF4" w:rsidRPr="00BB4C88">
        <w:rPr>
          <w:rFonts w:ascii="Times New Roman" w:hAnsi="Times New Roman" w:cs="Times New Roman"/>
          <w:sz w:val="24"/>
          <w:szCs w:val="24"/>
        </w:rPr>
        <w:t>.</w:t>
      </w:r>
    </w:p>
    <w:p w:rsidR="00A64DF4" w:rsidRPr="00BB4C88" w:rsidRDefault="00A64DF4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Promjene se odnose na sl</w:t>
      </w:r>
      <w:r w:rsidR="003B7C93">
        <w:rPr>
          <w:rFonts w:ascii="Times New Roman" w:hAnsi="Times New Roman" w:cs="Times New Roman"/>
          <w:sz w:val="24"/>
          <w:szCs w:val="24"/>
        </w:rPr>
        <w:t>i</w:t>
      </w:r>
      <w:r w:rsidRPr="00BB4C88">
        <w:rPr>
          <w:rFonts w:ascii="Times New Roman" w:hAnsi="Times New Roman" w:cs="Times New Roman"/>
          <w:sz w:val="24"/>
          <w:szCs w:val="24"/>
        </w:rPr>
        <w:t>jedeće skupine prihoda:</w:t>
      </w:r>
    </w:p>
    <w:p w:rsidR="00A240A4" w:rsidRPr="00846B51" w:rsidRDefault="00A64DF4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46B51">
        <w:rPr>
          <w:rFonts w:ascii="Times New Roman" w:hAnsi="Times New Roman" w:cs="Times New Roman"/>
          <w:b/>
          <w:sz w:val="24"/>
          <w:szCs w:val="24"/>
        </w:rPr>
        <w:t>S</w:t>
      </w:r>
      <w:r w:rsidRPr="00BB4C88">
        <w:rPr>
          <w:rFonts w:ascii="Times New Roman" w:hAnsi="Times New Roman" w:cs="Times New Roman"/>
          <w:b/>
          <w:sz w:val="24"/>
          <w:szCs w:val="24"/>
        </w:rPr>
        <w:t>kupina prihoda 63</w:t>
      </w:r>
      <w:r w:rsidR="005D37EE" w:rsidRPr="00BB4C88">
        <w:rPr>
          <w:rFonts w:ascii="Times New Roman" w:hAnsi="Times New Roman" w:cs="Times New Roman"/>
          <w:sz w:val="24"/>
          <w:szCs w:val="24"/>
        </w:rPr>
        <w:t xml:space="preserve"> Pomoći iz inozemstva i od subjekata unutar općeg proračuna</w:t>
      </w:r>
      <w:r w:rsidRPr="00BB4C88">
        <w:rPr>
          <w:rFonts w:ascii="Times New Roman" w:hAnsi="Times New Roman" w:cs="Times New Roman"/>
          <w:sz w:val="24"/>
          <w:szCs w:val="24"/>
        </w:rPr>
        <w:t xml:space="preserve"> povećana je za</w:t>
      </w:r>
      <w:r w:rsidR="00BB4C88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5D37EE" w:rsidRPr="00BB4C88">
        <w:rPr>
          <w:rFonts w:ascii="Times New Roman" w:hAnsi="Times New Roman" w:cs="Times New Roman"/>
          <w:sz w:val="24"/>
          <w:szCs w:val="24"/>
        </w:rPr>
        <w:t>24.213.803 eura ili</w:t>
      </w:r>
      <w:r w:rsidRPr="00BB4C88">
        <w:rPr>
          <w:rFonts w:ascii="Times New Roman" w:hAnsi="Times New Roman" w:cs="Times New Roman"/>
          <w:sz w:val="24"/>
          <w:szCs w:val="24"/>
        </w:rPr>
        <w:t xml:space="preserve"> 539,60 % u odnosu na tekući plan te iznosi </w:t>
      </w:r>
      <w:r w:rsidR="005D37EE" w:rsidRPr="00BB4C88">
        <w:rPr>
          <w:rFonts w:ascii="Times New Roman" w:hAnsi="Times New Roman" w:cs="Times New Roman"/>
          <w:sz w:val="24"/>
          <w:szCs w:val="24"/>
        </w:rPr>
        <w:t>28.701.249</w:t>
      </w:r>
      <w:r w:rsidRPr="00BB4C88">
        <w:rPr>
          <w:rFonts w:ascii="Times New Roman" w:hAnsi="Times New Roman" w:cs="Times New Roman"/>
          <w:sz w:val="24"/>
          <w:szCs w:val="24"/>
        </w:rPr>
        <w:t xml:space="preserve"> eura.</w:t>
      </w:r>
      <w:r w:rsidR="00A240A4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3B7C93">
        <w:rPr>
          <w:rFonts w:ascii="Times New Roman" w:hAnsi="Times New Roman" w:cs="Times New Roman"/>
          <w:sz w:val="24"/>
          <w:szCs w:val="24"/>
        </w:rPr>
        <w:t>Povećanja se odnose na</w:t>
      </w:r>
      <w:r w:rsidR="004C6024" w:rsidRPr="00BB4C88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A240A4" w:rsidRPr="00BB4C88">
        <w:rPr>
          <w:rFonts w:ascii="Times New Roman" w:hAnsi="Times New Roman" w:cs="Times New Roman"/>
          <w:i/>
          <w:sz w:val="24"/>
          <w:szCs w:val="24"/>
        </w:rPr>
        <w:t>zvor financiranja 581 Mehanizam za oporavak i otpornost</w:t>
      </w:r>
      <w:r w:rsidR="003B7C93">
        <w:rPr>
          <w:rFonts w:ascii="Times New Roman" w:hAnsi="Times New Roman" w:cs="Times New Roman"/>
          <w:sz w:val="24"/>
          <w:szCs w:val="24"/>
        </w:rPr>
        <w:t xml:space="preserve"> koji je</w:t>
      </w:r>
      <w:r w:rsidR="00B1376A" w:rsidRPr="00BB4C88">
        <w:rPr>
          <w:rFonts w:ascii="Times New Roman" w:hAnsi="Times New Roman" w:cs="Times New Roman"/>
          <w:sz w:val="24"/>
          <w:szCs w:val="24"/>
        </w:rPr>
        <w:t xml:space="preserve"> temeljem suglasnost</w:t>
      </w:r>
      <w:r w:rsidR="00BB4C88" w:rsidRPr="00BB4C88">
        <w:rPr>
          <w:rFonts w:ascii="Times New Roman" w:hAnsi="Times New Roman" w:cs="Times New Roman"/>
          <w:sz w:val="24"/>
          <w:szCs w:val="24"/>
        </w:rPr>
        <w:t>i</w:t>
      </w:r>
      <w:r w:rsidR="00B1376A" w:rsidRPr="00BB4C88">
        <w:rPr>
          <w:rFonts w:ascii="Times New Roman" w:hAnsi="Times New Roman" w:cs="Times New Roman"/>
          <w:sz w:val="24"/>
          <w:szCs w:val="24"/>
        </w:rPr>
        <w:t xml:space="preserve"> Ministarstva zdravstva</w:t>
      </w:r>
      <w:r w:rsidR="0086698A">
        <w:rPr>
          <w:rFonts w:ascii="Times New Roman" w:hAnsi="Times New Roman" w:cs="Times New Roman"/>
          <w:sz w:val="24"/>
          <w:szCs w:val="24"/>
        </w:rPr>
        <w:t xml:space="preserve"> povećan za 12.957.622 eura, a odnosi se na financiranje </w:t>
      </w:r>
      <w:r w:rsidR="008669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opremanja</w:t>
      </w:r>
      <w:r w:rsidR="0086698A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novih objekata objedinjenog hitnog bolničkog prijema, dnevnih bolnica i jednodnevnih kirurgija, te uređenje Klinike za neurokirurgiju, kao i  digitalizaciju i integraciju operacijskih dvorana opremljenih robotskom kirurgijom zbog produžetka rokova navedenih projekata</w:t>
      </w:r>
      <w:r w:rsidR="008669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na</w:t>
      </w:r>
      <w:r w:rsidR="00B1376A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69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i</w:t>
      </w:r>
      <w:r w:rsidR="00ED12FD" w:rsidRPr="00BB4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zvor financiranja 52 Ostale pomoći</w:t>
      </w:r>
      <w:r w:rsidR="00E814F6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69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 je </w:t>
      </w:r>
      <w:r w:rsidR="00E814F6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povećan za 11.236.722 eura </w:t>
      </w:r>
      <w:r w:rsidR="00ED12FD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to najvećim dijelom temeljem Odluke Vlade R</w:t>
      </w:r>
      <w:r w:rsidR="008669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epublike </w:t>
      </w:r>
      <w:r w:rsidR="00ED12FD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8669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rvatske</w:t>
      </w:r>
      <w:r w:rsidR="00ED12FD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isplati pomoći za podmirivanje dijela dospjelih obveza bolničkih zdravstvenih ustanova 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(14.714.854 </w:t>
      </w:r>
      <w:r w:rsid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ura) uz istodobno </w:t>
      </w:r>
      <w:r w:rsidR="005D37EE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smanjenje planiranog iznosa 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namijenjenog</w:t>
      </w:r>
      <w:r w:rsidR="005D37EE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izgradnji bunkera za linearni akcelerator 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</w:t>
      </w:r>
      <w:r w:rsidR="005D37EE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3.200.000 eura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koji se prebacuje na 2025. godinu i na </w:t>
      </w:r>
      <w:r w:rsidR="00846B5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izvor financiranja 561 ESF </w:t>
      </w:r>
      <w:r w:rsidR="00846B51" w:rsidRP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zbog reaktivacije 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projekta Radiološki edukacijski centar koji je završen u prosincu 2023. godine, a isplata plaće zaposlenima na projektu i nekoliko računa su izvršeni u siječnju 2024. godine.</w:t>
      </w:r>
    </w:p>
    <w:p w:rsidR="00ED12FD" w:rsidRPr="00BB4C88" w:rsidRDefault="00ED12FD" w:rsidP="00451896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ab/>
        <w:t>-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Prihodi od nadležnog proračuna te HZZO-a temeljem ugovornih obveza</w:t>
      </w:r>
      <w:r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7769C" w:rsidRPr="00BB4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(</w:t>
      </w:r>
      <w:r w:rsidRPr="00BB4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skupina prihoda 67</w:t>
      </w:r>
      <w:r w:rsidR="0097769C" w:rsidRPr="00BB4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 </w:t>
      </w:r>
      <w:r w:rsidR="00EE05D2" w:rsidRPr="00BB4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povećani</w:t>
      </w:r>
      <w:r w:rsidR="00EE05D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EE05D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2,27 % u odnosu na tekući plan te 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novi planirani </w:t>
      </w:r>
      <w:r w:rsidR="00EE05D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iznos 273.262.252 eura. </w:t>
      </w:r>
      <w:r w:rsidR="00EE05D2" w:rsidRP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</w:t>
      </w:r>
      <w:r w:rsidR="00EE05D2" w:rsidRPr="00BB4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 izvoru financiranja 43 Ostali prihodi za posebne namjene </w:t>
      </w:r>
      <w:r w:rsidR="00EE05D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</w:t>
      </w:r>
      <w:r w:rsidR="00002DC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nirani je iznos povećan za </w:t>
      </w:r>
      <w:r w:rsidR="00EE05D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6.704.866 eura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ili </w:t>
      </w:r>
      <w:r w:rsidR="00846B51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2,84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% </w:t>
      </w:r>
      <w:r w:rsidR="00002DC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temeljem Uredbe o rasponima koeficijenata u platnim razredima u jedinstvenoj platnoj ljestvici u državnim i javnim službama te Dodatku III Temeljnom kolektivnom ugovoru za službenike i namještenike u javnim službama </w:t>
      </w:r>
      <w:r w:rsidR="000C386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kojim je uključena </w:t>
      </w:r>
      <w:r w:rsidR="00CF36FE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nagrada</w:t>
      </w:r>
      <w:r w:rsidR="000C386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36FE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uskršnje blagdane u</w:t>
      </w:r>
      <w:r w:rsidR="000C386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materijalna prava zaposlenih. </w:t>
      </w:r>
      <w:r w:rsidR="000C3862" w:rsidRPr="00BB4C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 xml:space="preserve">Izvor financiranja 11 Opći prihodi i primici </w:t>
      </w:r>
      <w:r w:rsidR="000C386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smanjen je za 1.115.945 eura od kojih se naj</w:t>
      </w:r>
      <w:r w:rsidR="00846B5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veći dio odnosi na usklađenje s</w:t>
      </w:r>
      <w:r w:rsidR="000C3862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planiranom dinamikom plaćanja sanacije štete od potresa.</w:t>
      </w:r>
    </w:p>
    <w:p w:rsidR="0097769C" w:rsidRPr="00BB4C88" w:rsidRDefault="000C3862" w:rsidP="0045189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- </w:t>
      </w:r>
      <w:r w:rsidR="000F3896" w:rsidRPr="000F3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</w:t>
      </w:r>
      <w:r w:rsidR="00C973B4" w:rsidRPr="000F3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</w:t>
      </w:r>
      <w:r w:rsidR="00C973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upina prihoda 66 </w:t>
      </w:r>
      <w:r w:rsidR="00C97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odnosi se na 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prihode od prodaje proizvoda i robe te pruženih usluga i prihode od donacija te povrata po protestiranim jamstvima</w:t>
      </w:r>
      <w:r w:rsidR="00C973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</w:t>
      </w:r>
      <w:r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povećana je za 1.174.463 eura</w:t>
      </w:r>
      <w:r w:rsidR="000F38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to</w:t>
      </w:r>
      <w:r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najvećim dijelom na </w:t>
      </w:r>
      <w:r w:rsidRPr="000F3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izvoru financiranja 31</w:t>
      </w:r>
      <w:r w:rsidR="000F38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F3896" w:rsidRPr="000F3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  <w:t>Vlastiti prihodi</w:t>
      </w:r>
      <w:r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(931.392 eura) </w:t>
      </w:r>
      <w:r w:rsidR="00CF36FE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ostvarenih prihoda te vrste kroz 2024. godinu</w:t>
      </w:r>
      <w:r w:rsidR="0097769C" w:rsidRPr="00BB4C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E06D3" w:rsidRPr="00BB4C88" w:rsidRDefault="0097769C" w:rsidP="00451896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 xml:space="preserve">U manjim iznosima planirane su i promjene u prihodima iz </w:t>
      </w:r>
      <w:r w:rsidRPr="00BB4C88">
        <w:rPr>
          <w:rFonts w:ascii="Times New Roman" w:hAnsi="Times New Roman" w:cs="Times New Roman"/>
          <w:b/>
          <w:sz w:val="24"/>
          <w:szCs w:val="24"/>
        </w:rPr>
        <w:t>skupine prihoda 65</w:t>
      </w:r>
      <w:r w:rsidRPr="00BB4C88">
        <w:rPr>
          <w:rFonts w:ascii="Times New Roman" w:hAnsi="Times New Roman" w:cs="Times New Roman"/>
          <w:sz w:val="24"/>
          <w:szCs w:val="24"/>
        </w:rPr>
        <w:t xml:space="preserve"> Prihodi od upravnih i administrativnih pristojbi, pristojbi po posebnim propisima i naknadama</w:t>
      </w:r>
      <w:r w:rsidR="00AE06D3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0F3896">
        <w:rPr>
          <w:rFonts w:ascii="Times New Roman" w:hAnsi="Times New Roman" w:cs="Times New Roman"/>
          <w:sz w:val="24"/>
          <w:szCs w:val="24"/>
        </w:rPr>
        <w:t xml:space="preserve">(povećanje od </w:t>
      </w:r>
      <w:r w:rsidR="00AE06D3" w:rsidRPr="00BB4C88">
        <w:rPr>
          <w:rFonts w:ascii="Times New Roman" w:hAnsi="Times New Roman" w:cs="Times New Roman"/>
          <w:sz w:val="24"/>
          <w:szCs w:val="24"/>
        </w:rPr>
        <w:t>356.905 eura</w:t>
      </w:r>
      <w:r w:rsidR="000F3896">
        <w:rPr>
          <w:rFonts w:ascii="Times New Roman" w:hAnsi="Times New Roman" w:cs="Times New Roman"/>
          <w:sz w:val="24"/>
          <w:szCs w:val="24"/>
        </w:rPr>
        <w:t>)</w:t>
      </w:r>
      <w:r w:rsidR="00AE06D3" w:rsidRPr="00BB4C88">
        <w:rPr>
          <w:rFonts w:ascii="Times New Roman" w:hAnsi="Times New Roman" w:cs="Times New Roman"/>
          <w:sz w:val="24"/>
          <w:szCs w:val="24"/>
        </w:rPr>
        <w:t xml:space="preserve">, </w:t>
      </w:r>
      <w:r w:rsidR="00AE06D3" w:rsidRPr="00BB4C88">
        <w:rPr>
          <w:rFonts w:ascii="Times New Roman" w:hAnsi="Times New Roman" w:cs="Times New Roman"/>
          <w:b/>
          <w:sz w:val="24"/>
          <w:szCs w:val="24"/>
        </w:rPr>
        <w:t>skupine prihoda 68</w:t>
      </w:r>
      <w:r w:rsidR="00AE06D3" w:rsidRPr="00BB4C88">
        <w:rPr>
          <w:rFonts w:ascii="Times New Roman" w:hAnsi="Times New Roman" w:cs="Times New Roman"/>
          <w:sz w:val="24"/>
          <w:szCs w:val="24"/>
        </w:rPr>
        <w:t xml:space="preserve"> Kazne, upravne mjere i ostali prihodi </w:t>
      </w:r>
      <w:r w:rsidR="000F3896">
        <w:rPr>
          <w:rFonts w:ascii="Times New Roman" w:hAnsi="Times New Roman" w:cs="Times New Roman"/>
          <w:sz w:val="24"/>
          <w:szCs w:val="24"/>
        </w:rPr>
        <w:t>(povećanje od</w:t>
      </w:r>
      <w:r w:rsidR="00AE06D3" w:rsidRPr="00BB4C88">
        <w:rPr>
          <w:rFonts w:ascii="Times New Roman" w:hAnsi="Times New Roman" w:cs="Times New Roman"/>
          <w:sz w:val="24"/>
          <w:szCs w:val="24"/>
        </w:rPr>
        <w:t xml:space="preserve"> 202.100 eura</w:t>
      </w:r>
      <w:r w:rsidR="000F3896">
        <w:rPr>
          <w:rFonts w:ascii="Times New Roman" w:hAnsi="Times New Roman" w:cs="Times New Roman"/>
          <w:sz w:val="24"/>
          <w:szCs w:val="24"/>
        </w:rPr>
        <w:t>)</w:t>
      </w:r>
      <w:r w:rsidR="00AE06D3" w:rsidRPr="00BB4C88">
        <w:rPr>
          <w:rFonts w:ascii="Times New Roman" w:hAnsi="Times New Roman" w:cs="Times New Roman"/>
          <w:sz w:val="24"/>
          <w:szCs w:val="24"/>
        </w:rPr>
        <w:t xml:space="preserve"> i </w:t>
      </w:r>
      <w:r w:rsidRPr="00BB4C88">
        <w:rPr>
          <w:rFonts w:ascii="Times New Roman" w:hAnsi="Times New Roman" w:cs="Times New Roman"/>
          <w:b/>
          <w:sz w:val="24"/>
          <w:szCs w:val="24"/>
        </w:rPr>
        <w:t>skupin</w:t>
      </w:r>
      <w:r w:rsidR="00AE06D3" w:rsidRPr="00BB4C88">
        <w:rPr>
          <w:rFonts w:ascii="Times New Roman" w:hAnsi="Times New Roman" w:cs="Times New Roman"/>
          <w:b/>
          <w:sz w:val="24"/>
          <w:szCs w:val="24"/>
        </w:rPr>
        <w:t>i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 prihoda 64</w:t>
      </w:r>
      <w:r w:rsidRPr="00BB4C88">
        <w:rPr>
          <w:rFonts w:ascii="Times New Roman" w:hAnsi="Times New Roman" w:cs="Times New Roman"/>
          <w:sz w:val="24"/>
          <w:szCs w:val="24"/>
        </w:rPr>
        <w:t xml:space="preserve"> Prihodi od imovine </w:t>
      </w:r>
      <w:r w:rsidR="000F3896">
        <w:rPr>
          <w:rFonts w:ascii="Times New Roman" w:hAnsi="Times New Roman" w:cs="Times New Roman"/>
          <w:sz w:val="24"/>
          <w:szCs w:val="24"/>
        </w:rPr>
        <w:t xml:space="preserve">(povećanje od </w:t>
      </w:r>
      <w:r w:rsidR="00204C8F" w:rsidRPr="00BB4C88">
        <w:rPr>
          <w:rFonts w:ascii="Times New Roman" w:hAnsi="Times New Roman" w:cs="Times New Roman"/>
          <w:sz w:val="24"/>
          <w:szCs w:val="24"/>
        </w:rPr>
        <w:t>33.000 eura</w:t>
      </w:r>
      <w:r w:rsidR="000F3896">
        <w:rPr>
          <w:rFonts w:ascii="Times New Roman" w:hAnsi="Times New Roman" w:cs="Times New Roman"/>
          <w:sz w:val="24"/>
          <w:szCs w:val="24"/>
        </w:rPr>
        <w:t>)</w:t>
      </w:r>
      <w:r w:rsidR="00204C8F" w:rsidRPr="00BB4C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3A6" w:rsidRDefault="007E73A6" w:rsidP="0045189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4B7" w:rsidRDefault="00D964B7" w:rsidP="0045189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24C" w:rsidRPr="00BB4C88" w:rsidRDefault="009E024C" w:rsidP="00451896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383A87" w:rsidRPr="00BB4C88" w:rsidRDefault="00194E15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Ukupni rashodi</w:t>
      </w:r>
      <w:r w:rsidR="00654010">
        <w:rPr>
          <w:rFonts w:ascii="Times New Roman" w:hAnsi="Times New Roman" w:cs="Times New Roman"/>
          <w:sz w:val="24"/>
          <w:szCs w:val="24"/>
        </w:rPr>
        <w:t xml:space="preserve"> ovim su I</w:t>
      </w:r>
      <w:r w:rsidR="00383A87" w:rsidRPr="00BB4C88">
        <w:rPr>
          <w:rFonts w:ascii="Times New Roman" w:hAnsi="Times New Roman" w:cs="Times New Roman"/>
          <w:sz w:val="24"/>
          <w:szCs w:val="24"/>
        </w:rPr>
        <w:t>zmjenama i dopunama povećani za 11,6</w:t>
      </w:r>
      <w:r w:rsidR="000F3896">
        <w:rPr>
          <w:rFonts w:ascii="Times New Roman" w:hAnsi="Times New Roman" w:cs="Times New Roman"/>
          <w:sz w:val="24"/>
          <w:szCs w:val="24"/>
        </w:rPr>
        <w:t>4</w:t>
      </w:r>
      <w:r w:rsidRPr="00BB4C88">
        <w:rPr>
          <w:rFonts w:ascii="Times New Roman" w:hAnsi="Times New Roman" w:cs="Times New Roman"/>
          <w:sz w:val="24"/>
          <w:szCs w:val="24"/>
        </w:rPr>
        <w:t xml:space="preserve"> % u odnosu na </w:t>
      </w:r>
      <w:r w:rsidR="00383A87" w:rsidRPr="00BB4C88">
        <w:rPr>
          <w:rFonts w:ascii="Times New Roman" w:hAnsi="Times New Roman" w:cs="Times New Roman"/>
          <w:sz w:val="24"/>
          <w:szCs w:val="24"/>
        </w:rPr>
        <w:t>tekući</w:t>
      </w:r>
      <w:r w:rsidR="00654010">
        <w:rPr>
          <w:rFonts w:ascii="Times New Roman" w:hAnsi="Times New Roman" w:cs="Times New Roman"/>
          <w:sz w:val="24"/>
          <w:szCs w:val="24"/>
        </w:rPr>
        <w:t xml:space="preserve"> plan</w:t>
      </w:r>
      <w:r w:rsidRPr="00BB4C88">
        <w:rPr>
          <w:rFonts w:ascii="Times New Roman" w:hAnsi="Times New Roman" w:cs="Times New Roman"/>
          <w:sz w:val="24"/>
          <w:szCs w:val="24"/>
        </w:rPr>
        <w:t xml:space="preserve"> KBC Sestre milosrdnice za 202</w:t>
      </w:r>
      <w:r w:rsidR="00383A87" w:rsidRPr="00BB4C88">
        <w:rPr>
          <w:rFonts w:ascii="Times New Roman" w:hAnsi="Times New Roman" w:cs="Times New Roman"/>
          <w:sz w:val="24"/>
          <w:szCs w:val="24"/>
        </w:rPr>
        <w:t>4. godinu te iznose 319.721.147 eura</w:t>
      </w:r>
      <w:r w:rsidR="00737DD5" w:rsidRPr="00BB4C88">
        <w:rPr>
          <w:rFonts w:ascii="Times New Roman" w:hAnsi="Times New Roman" w:cs="Times New Roman"/>
          <w:sz w:val="24"/>
          <w:szCs w:val="24"/>
        </w:rPr>
        <w:t>.</w:t>
      </w:r>
    </w:p>
    <w:p w:rsidR="00737DD5" w:rsidRPr="00BB4C88" w:rsidRDefault="00194E15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Najznačajnij</w:t>
      </w:r>
      <w:r w:rsidR="00737DD5" w:rsidRPr="00BB4C88">
        <w:rPr>
          <w:rFonts w:ascii="Times New Roman" w:hAnsi="Times New Roman" w:cs="Times New Roman"/>
          <w:sz w:val="24"/>
          <w:szCs w:val="24"/>
        </w:rPr>
        <w:t xml:space="preserve">a promjena u odnosu na tekući plan za 2024. godinu odnosi se na </w:t>
      </w:r>
      <w:r w:rsidR="00737DD5" w:rsidRPr="00BB4C88">
        <w:rPr>
          <w:rFonts w:ascii="Times New Roman" w:hAnsi="Times New Roman" w:cs="Times New Roman"/>
          <w:b/>
          <w:sz w:val="24"/>
          <w:szCs w:val="24"/>
        </w:rPr>
        <w:t>skupinu konta 32</w:t>
      </w:r>
      <w:r w:rsidR="00737DD5" w:rsidRPr="00BB4C88">
        <w:rPr>
          <w:rFonts w:ascii="Times New Roman" w:hAnsi="Times New Roman" w:cs="Times New Roman"/>
          <w:sz w:val="24"/>
          <w:szCs w:val="24"/>
        </w:rPr>
        <w:t xml:space="preserve"> Materijalni rashodi gdje je planirani iznos povećan za 13.075.473 eura ili 10,98 % te novi plan iznosi 132.195.923 eura</w:t>
      </w:r>
      <w:r w:rsidR="000C4A64" w:rsidRPr="00BB4C88">
        <w:rPr>
          <w:rFonts w:ascii="Times New Roman" w:hAnsi="Times New Roman" w:cs="Times New Roman"/>
          <w:sz w:val="24"/>
          <w:szCs w:val="24"/>
        </w:rPr>
        <w:t xml:space="preserve">. Najveće povećanje odnosi se na </w:t>
      </w:r>
      <w:r w:rsidR="00737DD5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0C4A64" w:rsidRPr="00BB4C88">
        <w:rPr>
          <w:rFonts w:ascii="Times New Roman" w:hAnsi="Times New Roman" w:cs="Times New Roman"/>
          <w:i/>
          <w:sz w:val="24"/>
          <w:szCs w:val="24"/>
        </w:rPr>
        <w:t>i</w:t>
      </w:r>
      <w:r w:rsidR="00737DD5" w:rsidRPr="00BB4C88">
        <w:rPr>
          <w:rFonts w:ascii="Times New Roman" w:hAnsi="Times New Roman" w:cs="Times New Roman"/>
          <w:i/>
          <w:sz w:val="24"/>
          <w:szCs w:val="24"/>
        </w:rPr>
        <w:t>zvor financiranja 52 Ostale pomoći</w:t>
      </w:r>
      <w:r w:rsidR="00737DD5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8E75C4" w:rsidRPr="00BB4C88">
        <w:rPr>
          <w:rFonts w:ascii="Times New Roman" w:hAnsi="Times New Roman" w:cs="Times New Roman"/>
          <w:sz w:val="24"/>
          <w:szCs w:val="24"/>
        </w:rPr>
        <w:t>temeljem</w:t>
      </w:r>
      <w:r w:rsidR="00737DD5" w:rsidRPr="00BB4C88">
        <w:rPr>
          <w:rFonts w:ascii="Times New Roman" w:hAnsi="Times New Roman" w:cs="Times New Roman"/>
          <w:sz w:val="24"/>
          <w:szCs w:val="24"/>
        </w:rPr>
        <w:t xml:space="preserve"> Odluke Vlade Republike Hrvatske o isplati namjenske pomoći za podmirenje dijela dospjelih obveza bolničkih zdravstvenih ustanova kojima je osnivač Republika Hrvatska i kojima su osnivači županije prema dobavljačima lijekova, potrošnog i ugradbenog medicinskog materijala</w:t>
      </w:r>
      <w:r w:rsidR="00956FFF">
        <w:rPr>
          <w:rFonts w:ascii="Times New Roman" w:hAnsi="Times New Roman" w:cs="Times New Roman"/>
          <w:sz w:val="24"/>
          <w:szCs w:val="24"/>
        </w:rPr>
        <w:t>,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0C4A64" w:rsidRPr="00BB4C88">
        <w:rPr>
          <w:rFonts w:ascii="Times New Roman" w:hAnsi="Times New Roman" w:cs="Times New Roman"/>
          <w:sz w:val="24"/>
          <w:szCs w:val="24"/>
        </w:rPr>
        <w:t xml:space="preserve">dok je </w:t>
      </w:r>
      <w:r w:rsidR="003800DC" w:rsidRPr="00BB4C88">
        <w:rPr>
          <w:rFonts w:ascii="Times New Roman" w:hAnsi="Times New Roman" w:cs="Times New Roman"/>
          <w:i/>
          <w:sz w:val="24"/>
          <w:szCs w:val="24"/>
        </w:rPr>
        <w:t>izvor financiranja 43 Ostali prihodi za posebne namjene</w:t>
      </w:r>
      <w:r w:rsidR="003800DC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0F3896">
        <w:rPr>
          <w:rFonts w:ascii="Times New Roman" w:hAnsi="Times New Roman" w:cs="Times New Roman"/>
          <w:sz w:val="24"/>
          <w:szCs w:val="24"/>
        </w:rPr>
        <w:t xml:space="preserve">smanjen </w:t>
      </w:r>
      <w:r w:rsidR="003800DC" w:rsidRPr="00BB4C88">
        <w:rPr>
          <w:rFonts w:ascii="Times New Roman" w:hAnsi="Times New Roman" w:cs="Times New Roman"/>
          <w:sz w:val="24"/>
          <w:szCs w:val="24"/>
        </w:rPr>
        <w:t>radi usklade s izvršenim sredstvima.</w:t>
      </w:r>
    </w:p>
    <w:p w:rsidR="00194E15" w:rsidRPr="00BB4C88" w:rsidRDefault="00451283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 xml:space="preserve">Druga značajnija promjena odnosi se na </w:t>
      </w:r>
      <w:r w:rsidRPr="00BB4C88">
        <w:rPr>
          <w:rFonts w:ascii="Times New Roman" w:hAnsi="Times New Roman" w:cs="Times New Roman"/>
          <w:b/>
          <w:sz w:val="24"/>
          <w:szCs w:val="24"/>
        </w:rPr>
        <w:t>skupinu konta 31</w:t>
      </w:r>
      <w:r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194E15" w:rsidRPr="00BB4C88">
        <w:rPr>
          <w:rFonts w:ascii="Times New Roman" w:hAnsi="Times New Roman" w:cs="Times New Roman"/>
          <w:sz w:val="24"/>
          <w:szCs w:val="24"/>
        </w:rPr>
        <w:t xml:space="preserve">Rashodi za zaposlene, koji su planirani u iznosu od </w:t>
      </w:r>
      <w:r w:rsidRPr="00BB4C88">
        <w:rPr>
          <w:rFonts w:ascii="Times New Roman" w:hAnsi="Times New Roman" w:cs="Times New Roman"/>
          <w:sz w:val="24"/>
          <w:szCs w:val="24"/>
        </w:rPr>
        <w:t>144.820.224</w:t>
      </w:r>
      <w:r w:rsidR="00E615DA" w:rsidRPr="00BB4C88">
        <w:rPr>
          <w:rFonts w:ascii="Times New Roman" w:hAnsi="Times New Roman" w:cs="Times New Roman"/>
          <w:sz w:val="24"/>
          <w:szCs w:val="24"/>
        </w:rPr>
        <w:t xml:space="preserve"> eura</w:t>
      </w:r>
      <w:r w:rsidR="00194E15" w:rsidRPr="00BB4C88">
        <w:rPr>
          <w:rFonts w:ascii="Times New Roman" w:hAnsi="Times New Roman" w:cs="Times New Roman"/>
          <w:sz w:val="24"/>
          <w:szCs w:val="24"/>
        </w:rPr>
        <w:t xml:space="preserve"> što je </w:t>
      </w:r>
      <w:r w:rsidR="00DF282F">
        <w:rPr>
          <w:rFonts w:ascii="Times New Roman" w:hAnsi="Times New Roman" w:cs="Times New Roman"/>
          <w:sz w:val="24"/>
          <w:szCs w:val="24"/>
        </w:rPr>
        <w:t xml:space="preserve">12.596.780 eura ili </w:t>
      </w:r>
      <w:r w:rsidRPr="00BB4C88">
        <w:rPr>
          <w:rFonts w:ascii="Times New Roman" w:hAnsi="Times New Roman" w:cs="Times New Roman"/>
          <w:sz w:val="24"/>
          <w:szCs w:val="24"/>
        </w:rPr>
        <w:t>9,53</w:t>
      </w:r>
      <w:r w:rsidR="00194E15" w:rsidRPr="00BB4C88">
        <w:rPr>
          <w:rFonts w:ascii="Times New Roman" w:hAnsi="Times New Roman" w:cs="Times New Roman"/>
          <w:sz w:val="24"/>
          <w:szCs w:val="24"/>
        </w:rPr>
        <w:t xml:space="preserve"> % veći iznos od </w:t>
      </w:r>
      <w:r w:rsidRPr="00BB4C88">
        <w:rPr>
          <w:rFonts w:ascii="Times New Roman" w:hAnsi="Times New Roman" w:cs="Times New Roman"/>
          <w:sz w:val="24"/>
          <w:szCs w:val="24"/>
        </w:rPr>
        <w:t xml:space="preserve">tekućeg plana </w:t>
      </w:r>
      <w:r w:rsidR="008E75C4" w:rsidRPr="00BB4C88">
        <w:rPr>
          <w:rFonts w:ascii="Times New Roman" w:hAnsi="Times New Roman" w:cs="Times New Roman"/>
          <w:sz w:val="24"/>
          <w:szCs w:val="24"/>
        </w:rPr>
        <w:t xml:space="preserve">za </w:t>
      </w:r>
      <w:r w:rsidRPr="00BB4C88">
        <w:rPr>
          <w:rFonts w:ascii="Times New Roman" w:hAnsi="Times New Roman" w:cs="Times New Roman"/>
          <w:sz w:val="24"/>
          <w:szCs w:val="24"/>
        </w:rPr>
        <w:t>2024. godin</w:t>
      </w:r>
      <w:r w:rsidR="008E75C4" w:rsidRPr="00BB4C88">
        <w:rPr>
          <w:rFonts w:ascii="Times New Roman" w:hAnsi="Times New Roman" w:cs="Times New Roman"/>
          <w:sz w:val="24"/>
          <w:szCs w:val="24"/>
        </w:rPr>
        <w:t>u</w:t>
      </w:r>
      <w:r w:rsidRPr="00BB4C88">
        <w:rPr>
          <w:rFonts w:ascii="Times New Roman" w:hAnsi="Times New Roman" w:cs="Times New Roman"/>
          <w:sz w:val="24"/>
          <w:szCs w:val="24"/>
        </w:rPr>
        <w:t>.</w:t>
      </w:r>
      <w:r w:rsidR="00194E15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194E15" w:rsidRPr="00BB4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Povećanje se </w:t>
      </w:r>
      <w:r w:rsidR="00DF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najvećim dijelom </w:t>
      </w:r>
      <w:r w:rsidR="00194E15" w:rsidRPr="00BB4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odnosi na projekciju izračuna plaća sukladno </w:t>
      </w:r>
      <w:r w:rsidRPr="00BB4C88">
        <w:rPr>
          <w:rFonts w:ascii="Times New Roman" w:hAnsi="Times New Roman" w:cs="Times New Roman"/>
          <w:color w:val="000000" w:themeColor="text1"/>
          <w:sz w:val="24"/>
          <w:szCs w:val="24"/>
        </w:rPr>
        <w:t>Uredbi o rasponima koeficijenata u platnim razredima u jedinstvenoj platnoj ljestvici u državnoj službi i javnim službama te Dodatku III Temeljnom kolektivnom ugovoru za službenike i namještenike u javnim službama</w:t>
      </w:r>
      <w:r w:rsidR="00956F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964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što je planirano na</w:t>
      </w:r>
      <w:r w:rsidR="00DF28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28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izvor</w:t>
      </w:r>
      <w:r w:rsidR="00D964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r w:rsidRPr="00DF282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financiranja 43 Ostali prihodi za posebne namjene</w:t>
      </w:r>
      <w:r w:rsidRPr="00BB4C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51283" w:rsidRDefault="00194E15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U rashodima razreda 4 Rashodi za nabavu nefinancijske imovine</w:t>
      </w:r>
      <w:r w:rsidR="00451283" w:rsidRPr="00BB4C88">
        <w:rPr>
          <w:rFonts w:ascii="Times New Roman" w:hAnsi="Times New Roman" w:cs="Times New Roman"/>
          <w:sz w:val="24"/>
          <w:szCs w:val="24"/>
        </w:rPr>
        <w:t xml:space="preserve"> najznačajnije se 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promjene odnose na </w:t>
      </w:r>
      <w:r w:rsidR="004720D3" w:rsidRPr="00BB4C88">
        <w:rPr>
          <w:rFonts w:ascii="Times New Roman" w:hAnsi="Times New Roman" w:cs="Times New Roman"/>
          <w:b/>
          <w:sz w:val="24"/>
          <w:szCs w:val="24"/>
        </w:rPr>
        <w:t xml:space="preserve">skupinu konta 42 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Rashodi za nabavu proizvedene dugotrajne imovine koja je povećana </w:t>
      </w:r>
      <w:r w:rsidR="00D964B7">
        <w:rPr>
          <w:rFonts w:ascii="Times New Roman" w:hAnsi="Times New Roman" w:cs="Times New Roman"/>
          <w:sz w:val="24"/>
          <w:szCs w:val="24"/>
        </w:rPr>
        <w:t xml:space="preserve">za 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10.219.819 eura ili </w:t>
      </w:r>
      <w:r w:rsidR="008E75C4" w:rsidRPr="00BB4C88">
        <w:rPr>
          <w:rFonts w:ascii="Times New Roman" w:hAnsi="Times New Roman" w:cs="Times New Roman"/>
          <w:sz w:val="24"/>
          <w:szCs w:val="24"/>
        </w:rPr>
        <w:t>149,32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 % u odnosu na tekući plan 2024. godine te novi plan iznosi 17.064.266 eura</w:t>
      </w:r>
      <w:r w:rsidR="00D964B7">
        <w:rPr>
          <w:rFonts w:ascii="Times New Roman" w:hAnsi="Times New Roman" w:cs="Times New Roman"/>
          <w:sz w:val="24"/>
          <w:szCs w:val="24"/>
        </w:rPr>
        <w:t>,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 dok je </w:t>
      </w:r>
      <w:r w:rsidR="004720D3" w:rsidRPr="00BB4C88">
        <w:rPr>
          <w:rFonts w:ascii="Times New Roman" w:hAnsi="Times New Roman" w:cs="Times New Roman"/>
          <w:b/>
          <w:sz w:val="24"/>
          <w:szCs w:val="24"/>
        </w:rPr>
        <w:t>skupin</w:t>
      </w:r>
      <w:r w:rsidR="001D7A5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720D3" w:rsidRPr="00BB4C88">
        <w:rPr>
          <w:rFonts w:ascii="Times New Roman" w:hAnsi="Times New Roman" w:cs="Times New Roman"/>
          <w:b/>
          <w:sz w:val="24"/>
          <w:szCs w:val="24"/>
        </w:rPr>
        <w:t>konta 45</w:t>
      </w:r>
      <w:r w:rsidR="004720D3" w:rsidRPr="00BB4C88">
        <w:rPr>
          <w:rFonts w:ascii="Times New Roman" w:hAnsi="Times New Roman" w:cs="Times New Roman"/>
          <w:sz w:val="24"/>
          <w:szCs w:val="24"/>
        </w:rPr>
        <w:t xml:space="preserve"> Rashodi za dodatna ulaganja na nefinancijskoj imovini smanjena za 1.777.794 eura ili 6,66 % te novi plan iznosi 24.931.602 eura. </w:t>
      </w:r>
    </w:p>
    <w:p w:rsidR="00451896" w:rsidRDefault="00451896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96" w:rsidRPr="00BB4C88" w:rsidRDefault="00451896" w:rsidP="004518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A64" w:rsidRPr="00BB4C88" w:rsidRDefault="009E024C" w:rsidP="009E024C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>PRIJENOS SREDSTAVA IZ PRETHODNE I U SL</w:t>
      </w:r>
      <w:r w:rsidR="00C4277B" w:rsidRPr="00BB4C88">
        <w:rPr>
          <w:rFonts w:ascii="Times New Roman" w:hAnsi="Times New Roman" w:cs="Times New Roman"/>
          <w:b/>
          <w:sz w:val="24"/>
          <w:szCs w:val="24"/>
        </w:rPr>
        <w:t>I</w:t>
      </w:r>
      <w:r w:rsidRPr="00BB4C88">
        <w:rPr>
          <w:rFonts w:ascii="Times New Roman" w:hAnsi="Times New Roman" w:cs="Times New Roman"/>
          <w:b/>
          <w:sz w:val="24"/>
          <w:szCs w:val="24"/>
        </w:rPr>
        <w:t>JEDEĆU GODINU</w:t>
      </w:r>
    </w:p>
    <w:p w:rsidR="009E024C" w:rsidRPr="00BB4C88" w:rsidRDefault="000C4A64" w:rsidP="000C4A64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eastAsia="Calibri" w:hAnsi="Times New Roman" w:cs="Times New Roman"/>
          <w:sz w:val="24"/>
          <w:szCs w:val="24"/>
        </w:rPr>
        <w:t>Razlika između ukupnih prihoda i ukupnih rashoda je 1.296.476 eura za 2024. godinu, te se Rebalans I financijskog plana uravnotežuje prenesenim sredstvima iz prethodne god</w:t>
      </w:r>
      <w:r w:rsidR="00D964B7">
        <w:rPr>
          <w:rFonts w:ascii="Times New Roman" w:eastAsia="Calibri" w:hAnsi="Times New Roman" w:cs="Times New Roman"/>
          <w:sz w:val="24"/>
          <w:szCs w:val="24"/>
        </w:rPr>
        <w:t>ine koji iznosi 3.523.013 eura i</w:t>
      </w:r>
      <w:r w:rsidRPr="00BB4C88">
        <w:rPr>
          <w:rFonts w:ascii="Times New Roman" w:eastAsia="Calibri" w:hAnsi="Times New Roman" w:cs="Times New Roman"/>
          <w:sz w:val="24"/>
          <w:szCs w:val="24"/>
        </w:rPr>
        <w:t xml:space="preserve"> planiranim prijenosom sredstava u iduću godinu u iznosu od 2.226.537 eura.</w:t>
      </w:r>
      <w:r w:rsidR="009E024C" w:rsidRPr="00BB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36F" w:rsidRPr="00BB4C88" w:rsidRDefault="0059136F" w:rsidP="000C4A64">
      <w:pPr>
        <w:spacing w:before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 xml:space="preserve">Ovim izmjenama financijskog plana za 2024. godinu povećan je ukupni prijenos sredstava iz prethodne godine radi usklađenja s prenesenim sredstvima na dan 01. siječnja 2024. godine za 1.993.614 eura od čega najviše na izvoru financiranja 931 Vlastiti prihodi – prijenos (930.042 eura) te na </w:t>
      </w:r>
      <w:r w:rsidR="000753A6" w:rsidRPr="00BB4C88">
        <w:rPr>
          <w:rFonts w:ascii="Times New Roman" w:hAnsi="Times New Roman" w:cs="Times New Roman"/>
          <w:sz w:val="24"/>
          <w:szCs w:val="24"/>
        </w:rPr>
        <w:t>izvoru financiranja</w:t>
      </w:r>
      <w:r w:rsidRPr="00BB4C88">
        <w:rPr>
          <w:rFonts w:ascii="Times New Roman" w:hAnsi="Times New Roman" w:cs="Times New Roman"/>
          <w:sz w:val="24"/>
          <w:szCs w:val="24"/>
        </w:rPr>
        <w:t xml:space="preserve"> 952 Ostale pomoći - prijenos</w:t>
      </w:r>
      <w:r w:rsidR="000753A6" w:rsidRPr="00BB4C88">
        <w:rPr>
          <w:rFonts w:ascii="Times New Roman" w:hAnsi="Times New Roman" w:cs="Times New Roman"/>
          <w:sz w:val="24"/>
          <w:szCs w:val="24"/>
        </w:rPr>
        <w:t xml:space="preserve"> (906.740 eura).</w:t>
      </w:r>
    </w:p>
    <w:p w:rsidR="000753A6" w:rsidRPr="00BB4C88" w:rsidRDefault="000753A6" w:rsidP="000C4A64">
      <w:pPr>
        <w:spacing w:before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Prijenos sredstava u sl</w:t>
      </w:r>
      <w:r w:rsidR="00D964B7">
        <w:rPr>
          <w:rFonts w:ascii="Times New Roman" w:hAnsi="Times New Roman" w:cs="Times New Roman"/>
          <w:sz w:val="24"/>
          <w:szCs w:val="24"/>
        </w:rPr>
        <w:t>i</w:t>
      </w:r>
      <w:r w:rsidRPr="00BB4C88">
        <w:rPr>
          <w:rFonts w:ascii="Times New Roman" w:hAnsi="Times New Roman" w:cs="Times New Roman"/>
          <w:sz w:val="24"/>
          <w:szCs w:val="24"/>
        </w:rPr>
        <w:t>jedeću godinu povećan je ukupno za 677.943 eura od čega najviše kroz izvor financiranja 9</w:t>
      </w:r>
      <w:r w:rsidR="001D7A52">
        <w:rPr>
          <w:rFonts w:ascii="Times New Roman" w:hAnsi="Times New Roman" w:cs="Times New Roman"/>
          <w:sz w:val="24"/>
          <w:szCs w:val="24"/>
        </w:rPr>
        <w:t>31</w:t>
      </w:r>
      <w:r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1D7A52">
        <w:rPr>
          <w:rFonts w:ascii="Times New Roman" w:hAnsi="Times New Roman" w:cs="Times New Roman"/>
          <w:sz w:val="24"/>
          <w:szCs w:val="24"/>
        </w:rPr>
        <w:t>Vlastiti prihodi</w:t>
      </w:r>
      <w:r w:rsidRPr="00BB4C88">
        <w:rPr>
          <w:rFonts w:ascii="Times New Roman" w:hAnsi="Times New Roman" w:cs="Times New Roman"/>
          <w:sz w:val="24"/>
          <w:szCs w:val="24"/>
        </w:rPr>
        <w:t xml:space="preserve"> – prijenos (</w:t>
      </w:r>
      <w:r w:rsidR="001D7A52">
        <w:rPr>
          <w:rFonts w:ascii="Times New Roman" w:hAnsi="Times New Roman" w:cs="Times New Roman"/>
          <w:sz w:val="24"/>
          <w:szCs w:val="24"/>
        </w:rPr>
        <w:t>425.141</w:t>
      </w:r>
      <w:r w:rsidRPr="00BB4C88">
        <w:rPr>
          <w:rFonts w:ascii="Times New Roman" w:hAnsi="Times New Roman" w:cs="Times New Roman"/>
          <w:sz w:val="24"/>
          <w:szCs w:val="24"/>
        </w:rPr>
        <w:t xml:space="preserve"> eur</w:t>
      </w:r>
      <w:r w:rsidR="001D7A52">
        <w:rPr>
          <w:rFonts w:ascii="Times New Roman" w:hAnsi="Times New Roman" w:cs="Times New Roman"/>
          <w:sz w:val="24"/>
          <w:szCs w:val="24"/>
        </w:rPr>
        <w:t>o</w:t>
      </w:r>
      <w:r w:rsidRPr="00BB4C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E024C" w:rsidRPr="00BB4C88" w:rsidRDefault="009E024C" w:rsidP="009E024C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24C" w:rsidRPr="00BB4C88" w:rsidRDefault="009E024C" w:rsidP="009E024C">
      <w:pPr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C7C">
        <w:rPr>
          <w:rFonts w:ascii="Times New Roman" w:hAnsi="Times New Roman" w:cs="Times New Roman"/>
          <w:b/>
          <w:sz w:val="24"/>
          <w:szCs w:val="24"/>
        </w:rPr>
        <w:t>PRIKAZ STANJA UKUPNIH I DOSPJELIH OBVEZA</w:t>
      </w:r>
    </w:p>
    <w:p w:rsidR="009E024C" w:rsidRPr="00BB4C88" w:rsidRDefault="009E024C" w:rsidP="009E024C">
      <w:pPr>
        <w:spacing w:before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>Navodimo prikaz stanja ukupnih i dospjelih obveza KBC-a na dan 30. lipnja 202</w:t>
      </w:r>
      <w:r w:rsidR="0041357D" w:rsidRPr="00BB4C88">
        <w:rPr>
          <w:rFonts w:ascii="Times New Roman" w:hAnsi="Times New Roman" w:cs="Times New Roman"/>
          <w:sz w:val="24"/>
          <w:szCs w:val="24"/>
        </w:rPr>
        <w:t>4</w:t>
      </w:r>
      <w:r w:rsidRPr="00BB4C88">
        <w:rPr>
          <w:rFonts w:ascii="Times New Roman" w:hAnsi="Times New Roman" w:cs="Times New Roman"/>
          <w:sz w:val="24"/>
          <w:szCs w:val="24"/>
        </w:rPr>
        <w:t>. godine: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3191"/>
        <w:gridCol w:w="5735"/>
      </w:tblGrid>
      <w:tr w:rsidR="00925CDD" w:rsidRPr="00BB4C88" w:rsidTr="00D964B7">
        <w:trPr>
          <w:trHeight w:val="444"/>
        </w:trPr>
        <w:tc>
          <w:tcPr>
            <w:tcW w:w="3191" w:type="dxa"/>
          </w:tcPr>
          <w:p w:rsidR="00925CDD" w:rsidRPr="00BB4C88" w:rsidRDefault="00925CDD" w:rsidP="009E50D4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5" w:type="dxa"/>
          </w:tcPr>
          <w:p w:rsidR="00925CDD" w:rsidRPr="00BB4C88" w:rsidRDefault="00925CDD" w:rsidP="00925CD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C88">
              <w:rPr>
                <w:rFonts w:ascii="Times New Roman" w:hAnsi="Times New Roman" w:cs="Times New Roman"/>
                <w:b/>
                <w:sz w:val="24"/>
                <w:szCs w:val="24"/>
              </w:rPr>
              <w:t>Stanje obveza na dan  30.06.2024.</w:t>
            </w:r>
          </w:p>
        </w:tc>
      </w:tr>
      <w:tr w:rsidR="00925CDD" w:rsidRPr="00BB4C88" w:rsidTr="00D964B7">
        <w:trPr>
          <w:trHeight w:val="469"/>
        </w:trPr>
        <w:tc>
          <w:tcPr>
            <w:tcW w:w="3191" w:type="dxa"/>
          </w:tcPr>
          <w:p w:rsidR="00925CDD" w:rsidRPr="00BB4C88" w:rsidRDefault="00925CDD" w:rsidP="009E50D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88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5735" w:type="dxa"/>
          </w:tcPr>
          <w:p w:rsidR="00925CDD" w:rsidRPr="00BB4C88" w:rsidRDefault="00925CDD" w:rsidP="009E50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88">
              <w:rPr>
                <w:rFonts w:ascii="Times New Roman" w:hAnsi="Times New Roman" w:cs="Times New Roman"/>
                <w:sz w:val="24"/>
                <w:szCs w:val="24"/>
              </w:rPr>
              <w:t>164.307.993</w:t>
            </w:r>
          </w:p>
        </w:tc>
      </w:tr>
      <w:tr w:rsidR="00925CDD" w:rsidRPr="00BB4C88" w:rsidTr="00D964B7">
        <w:trPr>
          <w:trHeight w:val="434"/>
        </w:trPr>
        <w:tc>
          <w:tcPr>
            <w:tcW w:w="3191" w:type="dxa"/>
          </w:tcPr>
          <w:p w:rsidR="00925CDD" w:rsidRPr="00BB4C88" w:rsidRDefault="00925CDD" w:rsidP="009E50D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C88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5735" w:type="dxa"/>
          </w:tcPr>
          <w:p w:rsidR="00925CDD" w:rsidRPr="00BB4C88" w:rsidRDefault="00925CDD" w:rsidP="009E50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4C88">
              <w:rPr>
                <w:rFonts w:ascii="Times New Roman" w:hAnsi="Times New Roman" w:cs="Times New Roman"/>
                <w:sz w:val="24"/>
                <w:szCs w:val="24"/>
              </w:rPr>
              <w:t>56.880.440</w:t>
            </w:r>
          </w:p>
        </w:tc>
      </w:tr>
    </w:tbl>
    <w:p w:rsidR="009E024C" w:rsidRPr="00BB4C88" w:rsidRDefault="009E024C" w:rsidP="009E024C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925CDD" w:rsidRPr="00BB4C88" w:rsidRDefault="00925CDD" w:rsidP="00925CDD">
      <w:pPr>
        <w:pStyle w:val="Zaglavlje"/>
        <w:tabs>
          <w:tab w:val="clear" w:pos="4536"/>
          <w:tab w:val="clear" w:pos="9072"/>
        </w:tabs>
        <w:spacing w:before="120"/>
        <w:ind w:firstLine="708"/>
      </w:pPr>
      <w:r w:rsidRPr="00BB4C88">
        <w:t>Na dan 30. lipnja 2024. godine sveukupne obveze Kliničkog bolničkog centra  iznosile su 164.307.993 eura.</w:t>
      </w:r>
    </w:p>
    <w:p w:rsidR="00925CDD" w:rsidRPr="00BB4C88" w:rsidRDefault="00925CDD" w:rsidP="00925CDD">
      <w:pPr>
        <w:pStyle w:val="Zaglavlje"/>
        <w:tabs>
          <w:tab w:val="clear" w:pos="4536"/>
          <w:tab w:val="clear" w:pos="9072"/>
        </w:tabs>
        <w:spacing w:before="120"/>
        <w:ind w:firstLine="708"/>
        <w:rPr>
          <w:b/>
        </w:rPr>
      </w:pPr>
      <w:r w:rsidRPr="00BB4C88">
        <w:t>Ukoliko se od navedenih obveza odbiju obveze koje se odnose na isplatu plaće zaposlenicima za mjesec lipanj 2023. godine, ostale nespomenute obveze i obveze prema HZZO-u za manje izvršen rad, stvarne obveze Bolnice prema dobavljačima na spomenuti dan iznosile su 81.373.617 eura.</w:t>
      </w:r>
    </w:p>
    <w:p w:rsidR="00925CDD" w:rsidRPr="00BB4C88" w:rsidRDefault="00925CDD" w:rsidP="00925CDD">
      <w:pPr>
        <w:pStyle w:val="Zaglavlje"/>
        <w:tabs>
          <w:tab w:val="clear" w:pos="4536"/>
          <w:tab w:val="clear" w:pos="9072"/>
        </w:tabs>
        <w:spacing w:before="120"/>
      </w:pPr>
      <w:r w:rsidRPr="00BB4C88">
        <w:tab/>
        <w:t>Na ukupno dospjele obveze odnosi se iznos od 56.880.440 eur</w:t>
      </w:r>
      <w:r w:rsidR="00A17C7C">
        <w:t>a</w:t>
      </w:r>
      <w:r w:rsidRPr="00BB4C88">
        <w:t xml:space="preserve"> ili 34,62 % ukupnih obveza.</w:t>
      </w:r>
    </w:p>
    <w:p w:rsidR="00925CDD" w:rsidRPr="00BB4C88" w:rsidRDefault="00925CDD" w:rsidP="00925CDD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C8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B4C88">
        <w:rPr>
          <w:rFonts w:ascii="Times New Roman" w:hAnsi="Times New Roman" w:cs="Times New Roman"/>
          <w:bCs/>
          <w:sz w:val="24"/>
          <w:szCs w:val="24"/>
        </w:rPr>
        <w:t xml:space="preserve">Dospjele obveze </w:t>
      </w:r>
      <w:r w:rsidRPr="00A17C7C">
        <w:rPr>
          <w:rFonts w:ascii="Times New Roman" w:hAnsi="Times New Roman" w:cs="Times New Roman"/>
          <w:bCs/>
          <w:sz w:val="24"/>
          <w:szCs w:val="24"/>
        </w:rPr>
        <w:t xml:space="preserve">preko 90 dana iznose </w:t>
      </w:r>
      <w:r w:rsidR="00A17C7C" w:rsidRPr="00A17C7C">
        <w:rPr>
          <w:rFonts w:ascii="Times New Roman" w:hAnsi="Times New Roman" w:cs="Times New Roman"/>
          <w:bCs/>
          <w:sz w:val="24"/>
          <w:szCs w:val="24"/>
        </w:rPr>
        <w:t>23.512.948</w:t>
      </w:r>
      <w:r w:rsidR="00A17C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7C7C">
        <w:rPr>
          <w:rFonts w:ascii="Times New Roman" w:hAnsi="Times New Roman" w:cs="Times New Roman"/>
          <w:bCs/>
          <w:sz w:val="24"/>
          <w:szCs w:val="24"/>
        </w:rPr>
        <w:t>eura što čini 41,</w:t>
      </w:r>
      <w:r w:rsidR="00A17C7C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Pr="00A17C7C">
        <w:rPr>
          <w:rFonts w:ascii="Times New Roman" w:hAnsi="Times New Roman" w:cs="Times New Roman"/>
          <w:bCs/>
          <w:sz w:val="24"/>
          <w:szCs w:val="24"/>
        </w:rPr>
        <w:t>% ukupno dospjelih obveza prema dobavljačima.</w:t>
      </w:r>
    </w:p>
    <w:p w:rsidR="00BE547F" w:rsidRPr="00BB4C88" w:rsidRDefault="00BE547F">
      <w:pPr>
        <w:rPr>
          <w:rFonts w:ascii="Times New Roman" w:hAnsi="Times New Roman" w:cs="Times New Roman"/>
          <w:bCs/>
          <w:sz w:val="24"/>
          <w:szCs w:val="24"/>
        </w:rPr>
      </w:pPr>
      <w:r w:rsidRPr="00BB4C88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CE0CFA" w:rsidRDefault="00CE0CFA" w:rsidP="00A75F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E024C" w:rsidRPr="00451896" w:rsidRDefault="009E024C" w:rsidP="00A75F6F">
      <w:pPr>
        <w:rPr>
          <w:rFonts w:ascii="Times New Roman" w:hAnsi="Times New Roman" w:cs="Times New Roman"/>
          <w:bCs/>
          <w:sz w:val="28"/>
          <w:szCs w:val="28"/>
        </w:rPr>
      </w:pPr>
      <w:r w:rsidRPr="00451896">
        <w:rPr>
          <w:rFonts w:ascii="Times New Roman" w:hAnsi="Times New Roman" w:cs="Times New Roman"/>
          <w:b/>
          <w:bCs/>
          <w:sz w:val="28"/>
          <w:szCs w:val="28"/>
        </w:rPr>
        <w:t>2. OBRAZLOŽENJE POSEBNOG DIJELA FINANCIJSKOG PLANA</w:t>
      </w:r>
    </w:p>
    <w:p w:rsidR="00827C1E" w:rsidRPr="00BB4C88" w:rsidRDefault="00827C1E" w:rsidP="00451896">
      <w:pPr>
        <w:tabs>
          <w:tab w:val="left" w:pos="567"/>
        </w:tabs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ab/>
        <w:t xml:space="preserve">Ovim Izmjenama i dopunama Financijskog plana poslovanja za 2024. godinu (Rebalans I), ukupan iznos planiranih </w:t>
      </w:r>
      <w:r w:rsidR="00CE0CFA">
        <w:rPr>
          <w:rFonts w:ascii="Times New Roman" w:hAnsi="Times New Roman" w:cs="Times New Roman"/>
          <w:sz w:val="24"/>
          <w:szCs w:val="24"/>
        </w:rPr>
        <w:t>rashoda</w:t>
      </w:r>
      <w:r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povećan je za </w:t>
      </w:r>
      <w:r w:rsidR="006B1D32" w:rsidRPr="00BB4C88">
        <w:rPr>
          <w:rFonts w:ascii="Times New Roman" w:hAnsi="Times New Roman" w:cs="Times New Roman"/>
          <w:b/>
          <w:sz w:val="24"/>
          <w:szCs w:val="24"/>
        </w:rPr>
        <w:t>33.347.278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BB4C88">
        <w:rPr>
          <w:rFonts w:ascii="Times New Roman" w:hAnsi="Times New Roman" w:cs="Times New Roman"/>
          <w:sz w:val="24"/>
          <w:szCs w:val="24"/>
        </w:rPr>
        <w:t xml:space="preserve"> u odnosu na tekući plan za 202</w:t>
      </w:r>
      <w:r w:rsidR="006B1D32" w:rsidRPr="00BB4C88">
        <w:rPr>
          <w:rFonts w:ascii="Times New Roman" w:hAnsi="Times New Roman" w:cs="Times New Roman"/>
          <w:sz w:val="24"/>
          <w:szCs w:val="24"/>
        </w:rPr>
        <w:t>4</w:t>
      </w:r>
      <w:r w:rsidRPr="00BB4C88">
        <w:rPr>
          <w:rFonts w:ascii="Times New Roman" w:hAnsi="Times New Roman" w:cs="Times New Roman"/>
          <w:sz w:val="24"/>
          <w:szCs w:val="24"/>
        </w:rPr>
        <w:t xml:space="preserve">. godinu, te 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iznosi </w:t>
      </w:r>
      <w:r w:rsidR="006B1D32" w:rsidRPr="00BB4C88">
        <w:rPr>
          <w:rFonts w:ascii="Times New Roman" w:hAnsi="Times New Roman" w:cs="Times New Roman"/>
          <w:b/>
          <w:sz w:val="24"/>
          <w:szCs w:val="24"/>
        </w:rPr>
        <w:t>319.721.147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BB4C88">
        <w:rPr>
          <w:rFonts w:ascii="Times New Roman" w:hAnsi="Times New Roman" w:cs="Times New Roman"/>
          <w:sz w:val="24"/>
          <w:szCs w:val="24"/>
        </w:rPr>
        <w:t xml:space="preserve"> ili </w:t>
      </w:r>
      <w:r w:rsidR="006B1D32" w:rsidRPr="00BB4C88">
        <w:rPr>
          <w:rFonts w:ascii="Times New Roman" w:hAnsi="Times New Roman" w:cs="Times New Roman"/>
          <w:sz w:val="24"/>
          <w:szCs w:val="24"/>
        </w:rPr>
        <w:t>11,65</w:t>
      </w:r>
      <w:r w:rsidRPr="00BB4C88">
        <w:rPr>
          <w:rFonts w:ascii="Times New Roman" w:hAnsi="Times New Roman" w:cs="Times New Roman"/>
          <w:sz w:val="24"/>
          <w:szCs w:val="24"/>
        </w:rPr>
        <w:t xml:space="preserve"> % više.</w:t>
      </w:r>
      <w:r w:rsidR="00360922" w:rsidRPr="00BB4C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C1E" w:rsidRPr="00BB4C88" w:rsidRDefault="00827C1E" w:rsidP="00451896">
      <w:pPr>
        <w:tabs>
          <w:tab w:val="left" w:pos="284"/>
        </w:tabs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ab/>
        <w:t>Izvršene su slijedeće promjene po aktivnostima, i</w:t>
      </w:r>
      <w:r w:rsidR="006B1D32" w:rsidRPr="00BB4C88">
        <w:rPr>
          <w:rFonts w:ascii="Times New Roman" w:hAnsi="Times New Roman" w:cs="Times New Roman"/>
          <w:sz w:val="24"/>
          <w:szCs w:val="24"/>
        </w:rPr>
        <w:t>zvorima financiranja i kontima:</w:t>
      </w:r>
    </w:p>
    <w:p w:rsidR="00827C1E" w:rsidRPr="00BB4C88" w:rsidRDefault="00827C1E" w:rsidP="00451896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024C" w:rsidRPr="00BB4C88" w:rsidRDefault="009E024C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 Aktivnost K895002 IZRAVNA KAPITALNA ULAGANJA</w:t>
      </w:r>
    </w:p>
    <w:p w:rsidR="002B1FF8" w:rsidRPr="00BB4C88" w:rsidRDefault="002B1FF8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povećanje na ovoj aktivnosti iznosi 11.152.920 eura, te novi plan iznosi 22.385.548</w:t>
      </w:r>
      <w:r w:rsidR="000753A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625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99,29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% više.</w:t>
      </w:r>
    </w:p>
    <w:p w:rsidR="002B1FF8" w:rsidRPr="00BB4C88" w:rsidRDefault="002B1FF8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F085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5F0856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zvor</w:t>
      </w:r>
      <w:r w:rsidR="005F0856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financiranja 11 Opći </w:t>
      </w:r>
      <w:r w:rsidR="005F0856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prihodi i primici</w:t>
      </w:r>
      <w:r w:rsidR="005F085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tekući plan za 2024. godinu je povećan za 92.000 eura radi nabavke uređaja za </w:t>
      </w:r>
      <w:proofErr w:type="spellStart"/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elektrokonvulzivno</w:t>
      </w:r>
      <w:proofErr w:type="spellEnd"/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liječ</w:t>
      </w:r>
      <w:r w:rsidR="00625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enje iz interventnih sredstava </w:t>
      </w:r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Ministarstva zdravstva. D</w:t>
      </w:r>
      <w:r w:rsidR="005F085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ošlo je </w:t>
      </w:r>
      <w:r w:rsidR="000753A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5F085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do preraspodjele sredstava između</w:t>
      </w:r>
      <w:r w:rsidR="000753A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skupine</w:t>
      </w:r>
      <w:r w:rsidR="005F085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konta</w:t>
      </w:r>
      <w:r w:rsidR="00A26D0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45 Rashodi za dodatna ulaganja na nefinancijskoj imovini gdje smo planirani iznos od 565.437 eura zbog nedostatka sredstava za </w:t>
      </w:r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26D0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premanje dnevnih bolnica i Objedinjenog hitnog bolničkog prijema te uređenj</w:t>
      </w:r>
      <w:r w:rsidR="00CE0CF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26D0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Klinike za neurokirurgiju i Digitalizaciju operacijskih dvorana usmjerili za nabavku medicinske i </w:t>
      </w:r>
      <w:r w:rsidR="00CE0CFA">
        <w:rPr>
          <w:rFonts w:ascii="Times New Roman" w:eastAsia="Times New Roman" w:hAnsi="Times New Roman" w:cs="Times New Roman"/>
          <w:sz w:val="24"/>
          <w:szCs w:val="24"/>
          <w:lang w:eastAsia="hr-HR"/>
        </w:rPr>
        <w:t>laboratorijske opreme na skupini</w:t>
      </w:r>
      <w:r w:rsidR="00A26D0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konta 42 Rashodi za nabavu proizvedene dugotrajne imovine.</w:t>
      </w:r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Nova planirana vrijednost iznosi 6.157.507 eura </w:t>
      </w:r>
      <w:r w:rsidR="00F23469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6256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1,52 </w:t>
      </w:r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% više</w:t>
      </w:r>
      <w:r w:rsidR="00F23469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tekući plan 2024. godine</w:t>
      </w:r>
      <w:r w:rsidR="00FC6B63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6B63" w:rsidRPr="00BB4C88" w:rsidRDefault="00FC6B63" w:rsidP="00451896">
      <w:pPr>
        <w:tabs>
          <w:tab w:val="left" w:pos="851"/>
        </w:tabs>
        <w:spacing w:before="12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ab/>
        <w:t xml:space="preserve">Vlastiti prihodi </w:t>
      </w:r>
      <w:r w:rsidR="006256F4">
        <w:rPr>
          <w:rFonts w:ascii="Times New Roman" w:hAnsi="Times New Roman" w:cs="Times New Roman"/>
          <w:b/>
          <w:sz w:val="24"/>
          <w:szCs w:val="24"/>
        </w:rPr>
        <w:t>(izvor financiranja 31)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C88">
        <w:rPr>
          <w:rFonts w:ascii="Times New Roman" w:hAnsi="Times New Roman" w:cs="Times New Roman"/>
          <w:sz w:val="24"/>
          <w:szCs w:val="24"/>
        </w:rPr>
        <w:t>sukladno uskladi s izvršenjem, povećani su za 1.157.781 eur</w:t>
      </w:r>
      <w:r w:rsidR="00B2435C" w:rsidRPr="00BB4C88">
        <w:rPr>
          <w:rFonts w:ascii="Times New Roman" w:hAnsi="Times New Roman" w:cs="Times New Roman"/>
          <w:sz w:val="24"/>
          <w:szCs w:val="24"/>
        </w:rPr>
        <w:t>o</w:t>
      </w:r>
      <w:r w:rsidRPr="00BB4C88">
        <w:rPr>
          <w:rFonts w:ascii="Times New Roman" w:hAnsi="Times New Roman" w:cs="Times New Roman"/>
          <w:sz w:val="24"/>
          <w:szCs w:val="24"/>
        </w:rPr>
        <w:t xml:space="preserve"> od kojih se</w:t>
      </w:r>
      <w:r w:rsidR="005C4A13" w:rsidRPr="00BB4C88">
        <w:rPr>
          <w:rFonts w:ascii="Times New Roman" w:hAnsi="Times New Roman" w:cs="Times New Roman"/>
          <w:sz w:val="24"/>
          <w:szCs w:val="24"/>
        </w:rPr>
        <w:t xml:space="preserve"> najveći dio od</w:t>
      </w:r>
      <w:r w:rsidRPr="00BB4C88">
        <w:rPr>
          <w:rFonts w:ascii="Times New Roman" w:hAnsi="Times New Roman" w:cs="Times New Roman"/>
          <w:sz w:val="24"/>
          <w:szCs w:val="24"/>
        </w:rPr>
        <w:t xml:space="preserve"> 936.952 eura odnosi na rashode za nabavu proizvedene dugotrajne imovine (uredska oprema i namještaj, medicinska i laboratorijska oprema, nabavka traktora s priključnim elementima</w:t>
      </w:r>
      <w:r w:rsidR="006256F4">
        <w:rPr>
          <w:rFonts w:ascii="Times New Roman" w:hAnsi="Times New Roman" w:cs="Times New Roman"/>
          <w:sz w:val="24"/>
          <w:szCs w:val="24"/>
        </w:rPr>
        <w:t xml:space="preserve"> i drugo)</w:t>
      </w:r>
      <w:r w:rsidR="00CE0CFA">
        <w:rPr>
          <w:rFonts w:ascii="Times New Roman" w:hAnsi="Times New Roman" w:cs="Times New Roman"/>
          <w:sz w:val="24"/>
          <w:szCs w:val="24"/>
        </w:rPr>
        <w:t>,</w:t>
      </w:r>
      <w:r w:rsidR="005C4A13" w:rsidRPr="00BB4C88">
        <w:rPr>
          <w:rFonts w:ascii="Times New Roman" w:hAnsi="Times New Roman" w:cs="Times New Roman"/>
          <w:sz w:val="24"/>
          <w:szCs w:val="24"/>
        </w:rPr>
        <w:t xml:space="preserve"> te nova planirana vrijednost iznosi 2.541.682 eura ili 83,66 % više.  </w:t>
      </w:r>
    </w:p>
    <w:p w:rsidR="005C4A13" w:rsidRPr="00BB4C88" w:rsidRDefault="005C4A13" w:rsidP="00451896">
      <w:pPr>
        <w:tabs>
          <w:tab w:val="left" w:pos="851"/>
        </w:tabs>
        <w:spacing w:before="12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ab/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Izvor financiranja 52 Ostale pomoći </w:t>
      </w:r>
      <w:r w:rsidRPr="00BB4C88">
        <w:rPr>
          <w:rFonts w:ascii="Times New Roman" w:hAnsi="Times New Roman" w:cs="Times New Roman"/>
          <w:sz w:val="24"/>
          <w:szCs w:val="24"/>
        </w:rPr>
        <w:t>smanjen je za 3.200.000 eura</w:t>
      </w:r>
      <w:r w:rsidR="00CE0CFA">
        <w:rPr>
          <w:rFonts w:ascii="Times New Roman" w:hAnsi="Times New Roman" w:cs="Times New Roman"/>
          <w:sz w:val="24"/>
          <w:szCs w:val="24"/>
        </w:rPr>
        <w:t>,</w:t>
      </w:r>
      <w:r w:rsidRPr="00BB4C88">
        <w:rPr>
          <w:rFonts w:ascii="Times New Roman" w:hAnsi="Times New Roman" w:cs="Times New Roman"/>
          <w:sz w:val="24"/>
          <w:szCs w:val="24"/>
        </w:rPr>
        <w:t xml:space="preserve"> te novi plan </w:t>
      </w:r>
      <w:r w:rsidR="006256F4">
        <w:rPr>
          <w:rFonts w:ascii="Times New Roman" w:hAnsi="Times New Roman" w:cs="Times New Roman"/>
          <w:sz w:val="24"/>
          <w:szCs w:val="24"/>
        </w:rPr>
        <w:t xml:space="preserve">iznosi 516.239 eura ili 86,11 </w:t>
      </w:r>
      <w:r w:rsidRPr="00BB4C88">
        <w:rPr>
          <w:rFonts w:ascii="Times New Roman" w:hAnsi="Times New Roman" w:cs="Times New Roman"/>
          <w:sz w:val="24"/>
          <w:szCs w:val="24"/>
        </w:rPr>
        <w:t>%</w:t>
      </w:r>
      <w:r w:rsidR="00B2435C" w:rsidRPr="00BB4C88">
        <w:rPr>
          <w:rFonts w:ascii="Times New Roman" w:hAnsi="Times New Roman" w:cs="Times New Roman"/>
          <w:sz w:val="24"/>
          <w:szCs w:val="24"/>
        </w:rPr>
        <w:t xml:space="preserve"> manje.</w:t>
      </w:r>
      <w:r w:rsidRPr="00BB4C88">
        <w:rPr>
          <w:rFonts w:ascii="Times New Roman" w:hAnsi="Times New Roman" w:cs="Times New Roman"/>
          <w:sz w:val="24"/>
          <w:szCs w:val="24"/>
        </w:rPr>
        <w:t xml:space="preserve"> Navedeno se smanjenje odnosi na sredstva planirana za izgradnju bunkera za linearni akceleratore koja su ovim Rebalansom I usklađena prema planiranoj dinamici izvršenja.</w:t>
      </w:r>
      <w:r w:rsidR="00CE0C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A13" w:rsidRPr="00BB4C88" w:rsidRDefault="005C4A13" w:rsidP="00451896">
      <w:pPr>
        <w:tabs>
          <w:tab w:val="left" w:pos="851"/>
        </w:tabs>
        <w:spacing w:before="12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ab/>
      </w:r>
      <w:r w:rsidR="007E07AF" w:rsidRPr="00BB4C88">
        <w:rPr>
          <w:rFonts w:ascii="Times New Roman" w:hAnsi="Times New Roman" w:cs="Times New Roman"/>
          <w:b/>
          <w:sz w:val="24"/>
          <w:szCs w:val="24"/>
        </w:rPr>
        <w:t>I</w:t>
      </w:r>
      <w:r w:rsidRPr="00BB4C88">
        <w:rPr>
          <w:rFonts w:ascii="Times New Roman" w:hAnsi="Times New Roman" w:cs="Times New Roman"/>
          <w:b/>
          <w:sz w:val="24"/>
          <w:szCs w:val="24"/>
        </w:rPr>
        <w:t>zvor financiranja 581 Mehanizam za oporavak i otpornost</w:t>
      </w:r>
      <w:r w:rsidR="007E07AF" w:rsidRPr="00BB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AF" w:rsidRPr="00BB4C88">
        <w:rPr>
          <w:rFonts w:ascii="Times New Roman" w:hAnsi="Times New Roman" w:cs="Times New Roman"/>
          <w:sz w:val="24"/>
          <w:szCs w:val="24"/>
        </w:rPr>
        <w:t>povećan je za 12.957.622 eura  koliko i iznosi novo planirana vrijednost za 2024. godinu.</w:t>
      </w:r>
      <w:r w:rsidR="007E07AF" w:rsidRPr="00BB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7AF" w:rsidRPr="00BB4C88">
        <w:rPr>
          <w:rFonts w:ascii="Times New Roman" w:hAnsi="Times New Roman" w:cs="Times New Roman"/>
          <w:sz w:val="24"/>
          <w:szCs w:val="24"/>
        </w:rPr>
        <w:t>Navedeno se povećanje odnosi na</w:t>
      </w:r>
      <w:r w:rsidRPr="00BB4C88">
        <w:rPr>
          <w:rFonts w:ascii="Times New Roman" w:hAnsi="Times New Roman" w:cs="Times New Roman"/>
          <w:sz w:val="24"/>
          <w:szCs w:val="24"/>
        </w:rPr>
        <w:t xml:space="preserve"> utrošena, a Financijskim planom KBC </w:t>
      </w:r>
      <w:r w:rsidR="009C3CF1" w:rsidRPr="00BB4C88">
        <w:rPr>
          <w:rFonts w:ascii="Times New Roman" w:hAnsi="Times New Roman" w:cs="Times New Roman"/>
          <w:sz w:val="24"/>
          <w:szCs w:val="24"/>
        </w:rPr>
        <w:t>Sestre milosrdnice za 2024. godinu neobuhvaćena sredstva iz Nacionalnog plana oporavka i otpornosti</w:t>
      </w:r>
      <w:r w:rsidR="00552B29">
        <w:rPr>
          <w:rFonts w:ascii="Times New Roman" w:hAnsi="Times New Roman" w:cs="Times New Roman"/>
          <w:sz w:val="24"/>
          <w:szCs w:val="24"/>
        </w:rPr>
        <w:t xml:space="preserve"> iskorištena</w:t>
      </w:r>
      <w:r w:rsidR="009C3CF1" w:rsidRPr="00BB4C88">
        <w:rPr>
          <w:rFonts w:ascii="Times New Roman" w:hAnsi="Times New Roman" w:cs="Times New Roman"/>
          <w:sz w:val="24"/>
          <w:szCs w:val="24"/>
        </w:rPr>
        <w:t xml:space="preserve"> za opremanje novih objekata objedinjenog hitnog bolničkog prijema, dnevnih bolnica i jednodnevnih kirurgija, te uređenje Klinike za neurokirurgiju, kao i digitalizaciju i integraciju </w:t>
      </w:r>
      <w:r w:rsidR="007E07AF" w:rsidRPr="00BB4C88">
        <w:rPr>
          <w:rFonts w:ascii="Times New Roman" w:hAnsi="Times New Roman" w:cs="Times New Roman"/>
          <w:sz w:val="24"/>
          <w:szCs w:val="24"/>
        </w:rPr>
        <w:t>operacijskih dvorana opremljenih robotskom kirurgijom radi produženja rokova navedenih projekata</w:t>
      </w:r>
      <w:r w:rsidR="00552B29">
        <w:rPr>
          <w:rFonts w:ascii="Times New Roman" w:hAnsi="Times New Roman" w:cs="Times New Roman"/>
          <w:sz w:val="24"/>
          <w:szCs w:val="24"/>
        </w:rPr>
        <w:t>,</w:t>
      </w:r>
      <w:r w:rsidR="007E07AF" w:rsidRPr="00BB4C88">
        <w:rPr>
          <w:rFonts w:ascii="Times New Roman" w:hAnsi="Times New Roman" w:cs="Times New Roman"/>
          <w:sz w:val="24"/>
          <w:szCs w:val="24"/>
        </w:rPr>
        <w:t xml:space="preserve"> uz suglasnost Ministarstva zdravstva. </w:t>
      </w:r>
    </w:p>
    <w:p w:rsidR="007E07AF" w:rsidRPr="00BB4C88" w:rsidRDefault="007E07AF" w:rsidP="00451896">
      <w:pPr>
        <w:tabs>
          <w:tab w:val="left" w:pos="851"/>
        </w:tabs>
        <w:spacing w:before="12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b/>
          <w:sz w:val="24"/>
          <w:szCs w:val="24"/>
        </w:rPr>
        <w:tab/>
      </w:r>
      <w:r w:rsidRPr="00BB4C88">
        <w:rPr>
          <w:rFonts w:ascii="Times New Roman" w:hAnsi="Times New Roman" w:cs="Times New Roman"/>
          <w:sz w:val="24"/>
          <w:szCs w:val="24"/>
        </w:rPr>
        <w:t>Na</w:t>
      </w:r>
      <w:r w:rsidRPr="00BB4C88">
        <w:rPr>
          <w:rFonts w:ascii="Times New Roman" w:hAnsi="Times New Roman" w:cs="Times New Roman"/>
          <w:b/>
          <w:sz w:val="24"/>
          <w:szCs w:val="24"/>
        </w:rPr>
        <w:t xml:space="preserve"> izvoru financiranja 61 Donacije </w:t>
      </w:r>
      <w:r w:rsidRPr="00BB4C88">
        <w:rPr>
          <w:rFonts w:ascii="Times New Roman" w:hAnsi="Times New Roman" w:cs="Times New Roman"/>
          <w:sz w:val="24"/>
          <w:szCs w:val="24"/>
        </w:rPr>
        <w:t>tekući je plan za 2024. godinu povećan za 145.517 eura od kojih se</w:t>
      </w:r>
      <w:r w:rsidR="004A2CF5" w:rsidRPr="00BB4C88">
        <w:rPr>
          <w:rFonts w:ascii="Times New Roman" w:hAnsi="Times New Roman" w:cs="Times New Roman"/>
          <w:sz w:val="24"/>
          <w:szCs w:val="24"/>
        </w:rPr>
        <w:t xml:space="preserve"> najveći dio </w:t>
      </w:r>
      <w:r w:rsidRPr="00BB4C88">
        <w:rPr>
          <w:rFonts w:ascii="Times New Roman" w:hAnsi="Times New Roman" w:cs="Times New Roman"/>
          <w:sz w:val="24"/>
          <w:szCs w:val="24"/>
        </w:rPr>
        <w:t>odnosi na primljenu donaciju za integraciju operacijske sale na Klinici za traumatologiju u kojem j</w:t>
      </w:r>
      <w:r w:rsidR="00FE0B2C" w:rsidRPr="00BB4C88">
        <w:rPr>
          <w:rFonts w:ascii="Times New Roman" w:hAnsi="Times New Roman" w:cs="Times New Roman"/>
          <w:sz w:val="24"/>
          <w:szCs w:val="24"/>
        </w:rPr>
        <w:t>e KBC</w:t>
      </w:r>
      <w:r w:rsidRPr="00BB4C88">
        <w:rPr>
          <w:rFonts w:ascii="Times New Roman" w:hAnsi="Times New Roman" w:cs="Times New Roman"/>
          <w:sz w:val="24"/>
          <w:szCs w:val="24"/>
        </w:rPr>
        <w:t xml:space="preserve"> Sestre </w:t>
      </w:r>
      <w:r w:rsidR="00FE0B2C" w:rsidRPr="00BB4C88">
        <w:rPr>
          <w:rFonts w:ascii="Times New Roman" w:hAnsi="Times New Roman" w:cs="Times New Roman"/>
          <w:sz w:val="24"/>
          <w:szCs w:val="24"/>
        </w:rPr>
        <w:t>milosrdnice partner</w:t>
      </w:r>
      <w:r w:rsidR="004A2CF5" w:rsidRPr="00BB4C88">
        <w:rPr>
          <w:rFonts w:ascii="Times New Roman" w:hAnsi="Times New Roman" w:cs="Times New Roman"/>
          <w:sz w:val="24"/>
          <w:szCs w:val="24"/>
        </w:rPr>
        <w:t xml:space="preserve"> (Projekt Sv. Katarina</w:t>
      </w:r>
      <w:r w:rsidR="00B2435C" w:rsidRPr="00BB4C88">
        <w:rPr>
          <w:rFonts w:ascii="Times New Roman" w:hAnsi="Times New Roman" w:cs="Times New Roman"/>
          <w:sz w:val="24"/>
          <w:szCs w:val="24"/>
        </w:rPr>
        <w:t>)</w:t>
      </w:r>
      <w:r w:rsidR="004A2CF5" w:rsidRPr="00BB4C88">
        <w:rPr>
          <w:rFonts w:ascii="Times New Roman" w:hAnsi="Times New Roman" w:cs="Times New Roman"/>
          <w:sz w:val="24"/>
          <w:szCs w:val="24"/>
        </w:rPr>
        <w:t xml:space="preserve">. Novi plan iznosi </w:t>
      </w:r>
      <w:r w:rsidR="00FE0B2C" w:rsidRPr="00BB4C88">
        <w:rPr>
          <w:rFonts w:ascii="Times New Roman" w:hAnsi="Times New Roman" w:cs="Times New Roman"/>
          <w:sz w:val="24"/>
          <w:szCs w:val="24"/>
        </w:rPr>
        <w:t xml:space="preserve"> </w:t>
      </w:r>
      <w:r w:rsidR="004A2CF5" w:rsidRPr="00BB4C88">
        <w:rPr>
          <w:rFonts w:ascii="Times New Roman" w:hAnsi="Times New Roman" w:cs="Times New Roman"/>
          <w:sz w:val="24"/>
          <w:szCs w:val="24"/>
        </w:rPr>
        <w:t>211.317 eura i veći je za 221</w:t>
      </w:r>
      <w:r w:rsidR="00552B29">
        <w:rPr>
          <w:rFonts w:ascii="Times New Roman" w:hAnsi="Times New Roman" w:cs="Times New Roman"/>
          <w:sz w:val="24"/>
          <w:szCs w:val="24"/>
        </w:rPr>
        <w:t>,</w:t>
      </w:r>
      <w:r w:rsidR="004A2CF5" w:rsidRPr="00BB4C88">
        <w:rPr>
          <w:rFonts w:ascii="Times New Roman" w:hAnsi="Times New Roman" w:cs="Times New Roman"/>
          <w:sz w:val="24"/>
          <w:szCs w:val="24"/>
        </w:rPr>
        <w:t>15 % u odnosu na tekući plan za 2024. godinu.</w:t>
      </w:r>
    </w:p>
    <w:p w:rsidR="00FE0B2C" w:rsidRDefault="00FE0B2C" w:rsidP="00451896">
      <w:pPr>
        <w:tabs>
          <w:tab w:val="left" w:pos="851"/>
        </w:tabs>
        <w:spacing w:before="12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Pr="00BB4C88">
        <w:rPr>
          <w:rFonts w:ascii="Times New Roman" w:hAnsi="Times New Roman" w:cs="Times New Roman"/>
          <w:b/>
          <w:sz w:val="24"/>
          <w:szCs w:val="24"/>
        </w:rPr>
        <w:t>izvoru financiranja 71 Prihodi od prodaje ili zamjene nefinancijske imovine i naknade s naslova osiguranja</w:t>
      </w:r>
      <w:r w:rsidRPr="00BB4C88">
        <w:rPr>
          <w:rFonts w:ascii="Times New Roman" w:hAnsi="Times New Roman" w:cs="Times New Roman"/>
          <w:sz w:val="24"/>
          <w:szCs w:val="24"/>
        </w:rPr>
        <w:t xml:space="preserve"> planirani iznos ostaje nepromijenjen te iznosi 1.181 eura.</w:t>
      </w:r>
    </w:p>
    <w:p w:rsidR="00552B29" w:rsidRDefault="00552B29" w:rsidP="00451896">
      <w:pPr>
        <w:tabs>
          <w:tab w:val="left" w:pos="851"/>
        </w:tabs>
        <w:spacing w:before="120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E024C" w:rsidRPr="00BB4C88" w:rsidRDefault="009E024C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II Aktivnost K895007 SANACIJA ŠTETE OD POTRESA </w:t>
      </w:r>
    </w:p>
    <w:p w:rsidR="00327705" w:rsidRPr="00BB4C88" w:rsidRDefault="00327705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C340A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Ukupno smanjenje planiranog iznosa na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</w:t>
      </w:r>
      <w:r w:rsidR="008C340A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K895007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2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Sanacija štete od potresa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778.964 eura od čega je </w:t>
      </w:r>
      <w:r w:rsidR="00552B29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</w:t>
      </w:r>
      <w:r w:rsidR="00552B29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financiranja 11 Opći prihodi i primici</w:t>
      </w:r>
      <w:r w:rsidR="00552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smanjen</w:t>
      </w:r>
      <w:r w:rsidR="00552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1.237.945 eura</w:t>
      </w:r>
      <w:r w:rsidR="00EF284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  <w:r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815 Namjenski primici</w:t>
      </w:r>
      <w:r w:rsidR="00552B29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NPOO</w:t>
      </w:r>
      <w:r w:rsidR="00552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povećan za 458.981 euro</w:t>
      </w:r>
      <w:r w:rsidR="00EF28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uskladi</w:t>
      </w:r>
      <w:r w:rsidR="008C340A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terminskim rokovima te planiranoj dinamici plaćanja u 2024. godini. </w:t>
      </w:r>
    </w:p>
    <w:p w:rsidR="00DA1363" w:rsidRPr="00BB4C88" w:rsidRDefault="00DA1363" w:rsidP="0045189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E024C" w:rsidRDefault="009E024C" w:rsidP="00451896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51FE" w:rsidRPr="00BB4C88" w:rsidRDefault="006451FE" w:rsidP="00451896">
      <w:pPr>
        <w:spacing w:after="0" w:line="240" w:lineRule="auto"/>
        <w:ind w:left="709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C5D85" w:rsidRPr="00BB4C88" w:rsidRDefault="003C5D85" w:rsidP="00265098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  <w:r w:rsidR="009E024C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Aktivnost 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</w:t>
      </w:r>
      <w:r w:rsidR="009E024C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89500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9E024C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65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OPERATIVNI PROGRAM UČINKOVITI LJUDSKI</w:t>
      </w:r>
      <w:r w:rsidR="00153D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C5D85" w:rsidRPr="00BB4C88" w:rsidRDefault="00153D2C" w:rsidP="00265098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3C5D85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POTENCIJALI  - OPTIMIZACIJA I POBOLJŠANJE UČINKOVITOSTI</w:t>
      </w:r>
    </w:p>
    <w:p w:rsidR="003C5D85" w:rsidRPr="00BB4C88" w:rsidRDefault="00153D2C" w:rsidP="00265098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3C5D85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RADIOLOŠKE DIJAGNOSTIKE</w:t>
      </w:r>
      <w:r w:rsidR="00265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3C5D85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SUSTAVU ZDRAVSTVA REPUBLIKE</w:t>
      </w:r>
    </w:p>
    <w:p w:rsidR="009E024C" w:rsidRPr="00BB4C88" w:rsidRDefault="00153D2C" w:rsidP="00265098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="003C5D85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HRVATSKE – RADIOLOŠKI EDUKACIJSKI CENTAR</w:t>
      </w:r>
    </w:p>
    <w:p w:rsidR="003C5D85" w:rsidRPr="00BB4C88" w:rsidRDefault="003C5D85" w:rsidP="00153D2C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B7835" w:rsidRPr="00087270" w:rsidRDefault="003C5D85" w:rsidP="00265098">
      <w:pPr>
        <w:tabs>
          <w:tab w:val="left" w:pos="284"/>
        </w:tabs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T895005 </w:t>
      </w:r>
      <w:r w:rsidR="00153D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Operativni program učinkoviti ljudski potencijali – optimizacija i poboljšanje učinkovitosti radiološke dijagnostike u sustavu zdravstva Republike Hrvatske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je Rebalansom I reaktivirana u sustavu državne riznice radi troškova isplate plaća, doprinosa na plaće te troškove prijevoza administratora zaposlenih na projektu za prosinac 2023. 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godine,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koje su isplaćene u siječnju 2024. godine. </w:t>
      </w:r>
      <w:r w:rsidR="0016216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Također, u siječnju 2024. plaćeni su i računi za lekturu i prijevod skripti i udžbenika</w:t>
      </w:r>
      <w:r w:rsidR="001C116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usluga upravljanja projektom </w:t>
      </w:r>
      <w:r w:rsidR="0016216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te izrad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6216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završnog Zahtjeva za nadoknadom sredstava (ZNS-a). Ukupno</w:t>
      </w:r>
      <w:r w:rsidR="00410E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izvršeno 22.893 eura, od čeg</w:t>
      </w:r>
      <w:r w:rsidR="0016216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3.434 eura 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16216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2166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</w:t>
      </w:r>
      <w:r w:rsidR="00265098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162166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financiranja 12 Sredstva učešća za pomoći</w:t>
      </w:r>
      <w:r w:rsidR="00410EA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6216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19.459 eura 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162166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</w:t>
      </w:r>
      <w:r w:rsidR="00265098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</w:t>
      </w:r>
      <w:r w:rsidR="00162166" w:rsidRPr="0008727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financiranja 561 Europski socijalni fond (ESF).</w:t>
      </w:r>
    </w:p>
    <w:p w:rsidR="00162166" w:rsidRDefault="00162166" w:rsidP="0045189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51FE" w:rsidRDefault="006451FE" w:rsidP="0045189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451896" w:rsidRPr="00BB4C88" w:rsidRDefault="00451896" w:rsidP="00451896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2166" w:rsidRPr="00BB4C88" w:rsidRDefault="009E024C" w:rsidP="006451FE">
      <w:pPr>
        <w:tabs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 Aktivnost A89500</w:t>
      </w:r>
      <w:r w:rsidR="00162166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62166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ADMINISTRACIJA I UPRAVLJANJE</w:t>
      </w:r>
    </w:p>
    <w:p w:rsidR="001C116D" w:rsidRPr="0086112C" w:rsidRDefault="001C116D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86112C" w:rsidRPr="008611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</w:t>
      </w:r>
      <w:r w:rsidR="008611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or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611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financiranja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11</w:t>
      </w:r>
      <w:r w:rsidR="008611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Opći prihodi i primici </w:t>
      </w:r>
      <w:r w:rsidR="0086112C" w:rsidRPr="0086112C">
        <w:rPr>
          <w:rFonts w:ascii="Times New Roman" w:eastAsia="Times New Roman" w:hAnsi="Times New Roman" w:cs="Times New Roman"/>
          <w:sz w:val="24"/>
          <w:szCs w:val="24"/>
          <w:lang w:eastAsia="hr-HR"/>
        </w:rPr>
        <w:t>ostaje nepromijenjen u odnosu na tekući plan 2024. godine</w:t>
      </w:r>
      <w:r w:rsidR="008611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8611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62166" w:rsidRPr="00BB4C88" w:rsidRDefault="00162166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Izvor financiranja 31 Vlastiti prihodi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 je za 311.512 eura ili 93,41 % te novi plan</w:t>
      </w:r>
      <w:r w:rsidR="00CC2F2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iznosi 645.005 eura</w:t>
      </w:r>
      <w:r w:rsidR="0086112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CC2F2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sve sukladno dinamici troškova u razdoblju I-VII 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mjesec </w:t>
      </w:r>
      <w:r w:rsidR="00CC2F2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2024. godine. </w:t>
      </w:r>
    </w:p>
    <w:p w:rsidR="00611054" w:rsidRPr="00BB4C88" w:rsidRDefault="00CC2F26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Na 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izvoru financiranja 43 Ostali prihodi za posebne namjene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skupina konta 31 Rashodi za zaposlene povećana je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12.194.619 eura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Uredbe o rasponima koeficijenata u platnim razredima u jedinstvenoj platnoj ljestvici u državnoj službi i javnim službama te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uključivanju nagrade za uskršnje blagdane u planirani iznos sukladno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Dodatk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III Temeljnom kolektivnom ugovoru za službenike i namještenike u javnim službama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. Skupina konta 32 Materijalni rasho</w:t>
      </w:r>
      <w:r w:rsidR="00C01DE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di smanjena je za 4.081.090 eura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 je na skupini konta 38 Ostali rashodi 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planirani iznos 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smanjen 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800.000 eura radi usklade s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izvršenjem,</w:t>
      </w:r>
      <w:r w:rsidR="00C01DE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dinamike </w:t>
      </w:r>
      <w:r w:rsidR="00C01DE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izvršenja planiranih sredstava </w:t>
      </w:r>
      <w:r w:rsidR="00611054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kroz 2024. godinu. Slijedom navedenog, ukupno planirani novi iznos na ovoj aktivnosti iznosi</w:t>
      </w:r>
      <w:r w:rsidR="00C01DE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256.724.883 eura što je povećanje od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7.313.529 eura ili</w:t>
      </w:r>
      <w:r w:rsidR="00C01DE6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2,93 %</w:t>
      </w:r>
      <w:r w:rsidR="00213148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C01DE6" w:rsidRPr="00BB4C88" w:rsidRDefault="00C01DE6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16406" w:rsidRPr="000164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zvor financiranja 52</w:t>
      </w:r>
      <w:r w:rsidR="000164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Ostale pomoći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</w:t>
      </w:r>
      <w:r w:rsidR="000164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15.155.354 eura i to najvećim dijelom temeljem Odluke Vlade RH o isplati namjenske pomoći za podmirivanje dijela dospjelih obveza bolničkih zdravstvenih ustanova kojima je osnivač RH i kojima su osnivači županije prema dobavljačima lijekova, potrošnog i ugradbenog medicinskog materijala </w:t>
      </w:r>
      <w:r w:rsidR="0086112C" w:rsidRP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(14.708.447 </w:t>
      </w:r>
      <w:r w:rsidRP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>eura)</w:t>
      </w:r>
      <w:r w:rsidR="0001640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povećanjem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rashoda za zaposlene radi većeg broja pripravnika koje sufinancira Hrvatski zavod za zapošljavanje (396.200 eura). Novi plan iznosi 15.804.537 eura.</w:t>
      </w:r>
    </w:p>
    <w:p w:rsidR="00162166" w:rsidRPr="00BB4C88" w:rsidRDefault="00C01DE6" w:rsidP="00451896">
      <w:pPr>
        <w:tabs>
          <w:tab w:val="left" w:pos="851"/>
        </w:tabs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F91EFB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F91EFB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izvoru financiranja 61 Donacije</w:t>
      </w:r>
      <w:r w:rsidR="00265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65098" w:rsidRP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</w:t>
      </w:r>
      <w:r w:rsidR="002650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91EFB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je povećan za 140.034 eura ili 106,33 % sukladno dinamici realiziranih sredstava tokom 2024. godine</w:t>
      </w:r>
      <w:r w:rsidR="0026509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91EFB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novi plan iznosi 271.729 eura.</w:t>
      </w:r>
    </w:p>
    <w:p w:rsidR="00162166" w:rsidRPr="00BB4C88" w:rsidRDefault="00162166" w:rsidP="00451896">
      <w:pPr>
        <w:spacing w:before="120" w:after="0" w:line="240" w:lineRule="auto"/>
        <w:ind w:left="1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25DD" w:rsidRDefault="00F91EFB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 Aktivnost A895003 PROVEDBA PREVENTIVNIH PROGRAMA </w:t>
      </w:r>
    </w:p>
    <w:p w:rsidR="00451896" w:rsidRPr="00BB4C88" w:rsidRDefault="00451896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925DD" w:rsidRDefault="004A2CF5" w:rsidP="0045189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Navedena aktivnost</w:t>
      </w:r>
      <w:r w:rsidR="006426DD" w:rsidRPr="00BB4C8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ovim je Rebalanso</w:t>
      </w:r>
      <w:r w:rsid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povećana za 30.000 eura</w:t>
      </w:r>
      <w:r w:rsidR="000164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016406" w:rsidRPr="000164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izvoru financiranja 11 Opći prihodi i primici</w:t>
      </w:r>
      <w:r w:rsidR="00016406">
        <w:rPr>
          <w:rFonts w:ascii="Times New Roman" w:eastAsia="Times New Roman" w:hAnsi="Times New Roman" w:cs="Times New Roman"/>
          <w:sz w:val="24"/>
          <w:szCs w:val="24"/>
          <w:lang w:eastAsia="hr-HR"/>
        </w:rPr>
        <w:t>, a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</w:t>
      </w:r>
      <w:r w:rsidR="00016406">
        <w:rPr>
          <w:rFonts w:ascii="Times New Roman" w:eastAsia="Times New Roman" w:hAnsi="Times New Roman" w:cs="Times New Roman"/>
          <w:sz w:val="24"/>
          <w:szCs w:val="24"/>
          <w:lang w:eastAsia="hr-HR"/>
        </w:rPr>
        <w:t>i se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 Nacionalni preventivni program ranog otkrivanja </w:t>
      </w:r>
      <w:proofErr w:type="spellStart"/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melanoma</w:t>
      </w:r>
      <w:proofErr w:type="spellEnd"/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(suglasnost Ministarstva zdravstva)</w:t>
      </w:r>
      <w:r w:rsid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koja će se utrošiti za</w:t>
      </w:r>
      <w:r w:rsidR="00D104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dodatna 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službena putovanja </w:t>
      </w:r>
      <w:r w:rsidR="00D104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Republici Hrvatskoj za provođenje </w:t>
      </w:r>
      <w:r w:rsidR="00565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javnozdravstvene </w:t>
      </w:r>
      <w:r w:rsidR="00D104DC">
        <w:rPr>
          <w:rFonts w:ascii="Times New Roman" w:eastAsia="Times New Roman" w:hAnsi="Times New Roman" w:cs="Times New Roman"/>
          <w:sz w:val="24"/>
          <w:szCs w:val="24"/>
          <w:lang w:eastAsia="hr-HR"/>
        </w:rPr>
        <w:t>akcije</w:t>
      </w:r>
      <w:r w:rsidR="005656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terenu,</w:t>
      </w:r>
      <w:r w:rsidR="00D104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za nabavu </w:t>
      </w:r>
      <w:proofErr w:type="spellStart"/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elektrokautera</w:t>
      </w:r>
      <w:proofErr w:type="spellEnd"/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proofErr w:type="spellStart"/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dermatoskopa</w:t>
      </w:r>
      <w:proofErr w:type="spellEnd"/>
      <w:r w:rsidR="006426DD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D7E87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925DD" w:rsidRDefault="00610877" w:rsidP="00B07F57">
      <w:pPr>
        <w:spacing w:before="12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Planirani iznos za Nacionalni akcijski plan suzbijanja zloupo</w:t>
      </w:r>
      <w:r w:rsidR="00E66270">
        <w:rPr>
          <w:rFonts w:ascii="Times New Roman" w:eastAsia="Times New Roman" w:hAnsi="Times New Roman" w:cs="Times New Roman"/>
          <w:sz w:val="24"/>
          <w:szCs w:val="24"/>
          <w:lang w:eastAsia="hr-HR"/>
        </w:rPr>
        <w:t>rabe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droga u Republici Hrvatskoj ostaje nepromijenjen.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10877" w:rsidRDefault="00BD7E87" w:rsidP="00B07F57">
      <w:pPr>
        <w:spacing w:before="120"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Novi plan iznosi 176.31</w:t>
      </w:r>
      <w:r w:rsid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384A8C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eura i za 20,50 % je veći</w:t>
      </w:r>
      <w:r w:rsidR="006108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odnosu na tekući plan 2024. godine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D7E87" w:rsidRDefault="00384A8C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925DD" w:rsidRPr="00BB4C88" w:rsidRDefault="004925DD" w:rsidP="00451896">
      <w:pPr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E024C" w:rsidRPr="00BB4C88" w:rsidRDefault="009E024C" w:rsidP="009E024C">
      <w:pPr>
        <w:spacing w:before="120" w:after="0" w:line="240" w:lineRule="auto"/>
        <w:ind w:left="18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E024C" w:rsidRPr="00BB4C88" w:rsidRDefault="009E024C" w:rsidP="009E024C">
      <w:pPr>
        <w:spacing w:before="120" w:after="0" w:line="240" w:lineRule="auto"/>
        <w:ind w:left="18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4D61" w:rsidRPr="00BB4C88" w:rsidRDefault="00C646E1" w:rsidP="00C646E1">
      <w:pPr>
        <w:spacing w:before="120" w:after="0" w:line="240" w:lineRule="auto"/>
        <w:ind w:left="18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024C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</w:t>
      </w:r>
      <w:r w:rsidR="009E024C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BC SESTRE MILOSRDNICE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E024C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D3C75" w:rsidRPr="00BB4C88" w:rsidRDefault="009E024C" w:rsidP="00C24D61">
      <w:pPr>
        <w:spacing w:before="120" w:after="0" w:line="240" w:lineRule="auto"/>
        <w:ind w:left="4428" w:right="-142" w:firstLine="528"/>
        <w:jc w:val="both"/>
        <w:rPr>
          <w:rFonts w:ascii="Times New Roman" w:hAnsi="Times New Roman" w:cs="Times New Roman"/>
          <w:sz w:val="24"/>
          <w:szCs w:val="24"/>
        </w:rPr>
      </w:pPr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Prof.dr.sc. Davor </w:t>
      </w:r>
      <w:proofErr w:type="spellStart"/>
      <w:r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Vagić</w:t>
      </w:r>
      <w:proofErr w:type="spellEnd"/>
      <w:r w:rsidR="00C646E1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C646E1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dr.med</w:t>
      </w:r>
      <w:proofErr w:type="spellEnd"/>
      <w:r w:rsidR="00C646E1" w:rsidRPr="00BB4C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sectPr w:rsidR="009D3C75" w:rsidRPr="00BB4C88" w:rsidSect="00846B5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50588"/>
    <w:multiLevelType w:val="hybridMultilevel"/>
    <w:tmpl w:val="F6EE94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D3D59"/>
    <w:multiLevelType w:val="hybridMultilevel"/>
    <w:tmpl w:val="606097A8"/>
    <w:lvl w:ilvl="0" w:tplc="80527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EB4FB4"/>
    <w:multiLevelType w:val="hybridMultilevel"/>
    <w:tmpl w:val="AC104E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70576"/>
    <w:multiLevelType w:val="hybridMultilevel"/>
    <w:tmpl w:val="CEB8FE6C"/>
    <w:lvl w:ilvl="0" w:tplc="90E4F4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882C41"/>
    <w:multiLevelType w:val="hybridMultilevel"/>
    <w:tmpl w:val="FEF0D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0B"/>
    <w:rsid w:val="00002DC2"/>
    <w:rsid w:val="00016406"/>
    <w:rsid w:val="000753A6"/>
    <w:rsid w:val="000841D6"/>
    <w:rsid w:val="00087270"/>
    <w:rsid w:val="0009225B"/>
    <w:rsid w:val="00097320"/>
    <w:rsid w:val="000C3862"/>
    <w:rsid w:val="000C4A64"/>
    <w:rsid w:val="000E329C"/>
    <w:rsid w:val="000F3896"/>
    <w:rsid w:val="00134F54"/>
    <w:rsid w:val="00153D2C"/>
    <w:rsid w:val="00162166"/>
    <w:rsid w:val="00163DD9"/>
    <w:rsid w:val="00165767"/>
    <w:rsid w:val="00183C44"/>
    <w:rsid w:val="00192677"/>
    <w:rsid w:val="00194E15"/>
    <w:rsid w:val="001C116D"/>
    <w:rsid w:val="001D7A52"/>
    <w:rsid w:val="00201D86"/>
    <w:rsid w:val="00204C8F"/>
    <w:rsid w:val="0020616D"/>
    <w:rsid w:val="00213148"/>
    <w:rsid w:val="002344BC"/>
    <w:rsid w:val="00265098"/>
    <w:rsid w:val="0028338E"/>
    <w:rsid w:val="00287C1A"/>
    <w:rsid w:val="002B1FF8"/>
    <w:rsid w:val="002B7E49"/>
    <w:rsid w:val="002C1EF0"/>
    <w:rsid w:val="00307437"/>
    <w:rsid w:val="00313BBD"/>
    <w:rsid w:val="00327705"/>
    <w:rsid w:val="00350D58"/>
    <w:rsid w:val="00360922"/>
    <w:rsid w:val="00365CA5"/>
    <w:rsid w:val="00366B19"/>
    <w:rsid w:val="003800DC"/>
    <w:rsid w:val="003824AE"/>
    <w:rsid w:val="00383A87"/>
    <w:rsid w:val="00384A8C"/>
    <w:rsid w:val="003B7C93"/>
    <w:rsid w:val="003C5D85"/>
    <w:rsid w:val="003E1A04"/>
    <w:rsid w:val="003F1617"/>
    <w:rsid w:val="003F7E39"/>
    <w:rsid w:val="00402D5F"/>
    <w:rsid w:val="004050BC"/>
    <w:rsid w:val="00410EA0"/>
    <w:rsid w:val="0041357D"/>
    <w:rsid w:val="00417D4F"/>
    <w:rsid w:val="00450E80"/>
    <w:rsid w:val="00451283"/>
    <w:rsid w:val="00451896"/>
    <w:rsid w:val="00470E9F"/>
    <w:rsid w:val="004720D3"/>
    <w:rsid w:val="0048029A"/>
    <w:rsid w:val="004925DD"/>
    <w:rsid w:val="004A2CF5"/>
    <w:rsid w:val="004B7835"/>
    <w:rsid w:val="004C2B89"/>
    <w:rsid w:val="004C6024"/>
    <w:rsid w:val="004C61BE"/>
    <w:rsid w:val="004F73CC"/>
    <w:rsid w:val="005026BB"/>
    <w:rsid w:val="00511E21"/>
    <w:rsid w:val="00522191"/>
    <w:rsid w:val="005419C5"/>
    <w:rsid w:val="0054599C"/>
    <w:rsid w:val="00552B29"/>
    <w:rsid w:val="005555E4"/>
    <w:rsid w:val="00565604"/>
    <w:rsid w:val="0059136F"/>
    <w:rsid w:val="005A45CB"/>
    <w:rsid w:val="005C4A13"/>
    <w:rsid w:val="005D37EE"/>
    <w:rsid w:val="005F0856"/>
    <w:rsid w:val="00610877"/>
    <w:rsid w:val="00611054"/>
    <w:rsid w:val="006149C4"/>
    <w:rsid w:val="006256F4"/>
    <w:rsid w:val="006426DD"/>
    <w:rsid w:val="006451FE"/>
    <w:rsid w:val="00652972"/>
    <w:rsid w:val="00654010"/>
    <w:rsid w:val="006553A0"/>
    <w:rsid w:val="0066570D"/>
    <w:rsid w:val="006A55B9"/>
    <w:rsid w:val="006B1D32"/>
    <w:rsid w:val="006C607D"/>
    <w:rsid w:val="006E55D8"/>
    <w:rsid w:val="007143F4"/>
    <w:rsid w:val="00737DD5"/>
    <w:rsid w:val="00757E62"/>
    <w:rsid w:val="00780E1F"/>
    <w:rsid w:val="00781DFF"/>
    <w:rsid w:val="007B50EE"/>
    <w:rsid w:val="007B6895"/>
    <w:rsid w:val="007B73E4"/>
    <w:rsid w:val="007C5871"/>
    <w:rsid w:val="007D7426"/>
    <w:rsid w:val="007E07AF"/>
    <w:rsid w:val="007E5A4B"/>
    <w:rsid w:val="007E73A6"/>
    <w:rsid w:val="00827C1E"/>
    <w:rsid w:val="00846B51"/>
    <w:rsid w:val="0086112C"/>
    <w:rsid w:val="0086698A"/>
    <w:rsid w:val="008B7057"/>
    <w:rsid w:val="008C1FCE"/>
    <w:rsid w:val="008C340A"/>
    <w:rsid w:val="008C5D88"/>
    <w:rsid w:val="008E3300"/>
    <w:rsid w:val="008E75C4"/>
    <w:rsid w:val="00914CF8"/>
    <w:rsid w:val="00925CDD"/>
    <w:rsid w:val="00956FFF"/>
    <w:rsid w:val="0097769C"/>
    <w:rsid w:val="00990A3E"/>
    <w:rsid w:val="00990A9D"/>
    <w:rsid w:val="009B578B"/>
    <w:rsid w:val="009C3CF1"/>
    <w:rsid w:val="009D3C75"/>
    <w:rsid w:val="009E024C"/>
    <w:rsid w:val="009E7BA4"/>
    <w:rsid w:val="00A17C7C"/>
    <w:rsid w:val="00A215D4"/>
    <w:rsid w:val="00A240A4"/>
    <w:rsid w:val="00A2427F"/>
    <w:rsid w:val="00A26D03"/>
    <w:rsid w:val="00A33884"/>
    <w:rsid w:val="00A64DF4"/>
    <w:rsid w:val="00A67ABE"/>
    <w:rsid w:val="00A75F6F"/>
    <w:rsid w:val="00A77817"/>
    <w:rsid w:val="00AC4339"/>
    <w:rsid w:val="00AD0B3F"/>
    <w:rsid w:val="00AD28B9"/>
    <w:rsid w:val="00AE06D3"/>
    <w:rsid w:val="00AE0A4F"/>
    <w:rsid w:val="00B07F57"/>
    <w:rsid w:val="00B11227"/>
    <w:rsid w:val="00B1376A"/>
    <w:rsid w:val="00B1550D"/>
    <w:rsid w:val="00B2435C"/>
    <w:rsid w:val="00B50C7E"/>
    <w:rsid w:val="00BB4C88"/>
    <w:rsid w:val="00BD5266"/>
    <w:rsid w:val="00BD6E8A"/>
    <w:rsid w:val="00BD7E87"/>
    <w:rsid w:val="00BE547F"/>
    <w:rsid w:val="00C01DE6"/>
    <w:rsid w:val="00C025DF"/>
    <w:rsid w:val="00C05B95"/>
    <w:rsid w:val="00C05B9B"/>
    <w:rsid w:val="00C0760C"/>
    <w:rsid w:val="00C07CBE"/>
    <w:rsid w:val="00C24D61"/>
    <w:rsid w:val="00C27339"/>
    <w:rsid w:val="00C4277B"/>
    <w:rsid w:val="00C646E1"/>
    <w:rsid w:val="00C66DA7"/>
    <w:rsid w:val="00C75C75"/>
    <w:rsid w:val="00C865DB"/>
    <w:rsid w:val="00C86A06"/>
    <w:rsid w:val="00C927F4"/>
    <w:rsid w:val="00C945B1"/>
    <w:rsid w:val="00C973B4"/>
    <w:rsid w:val="00CB22C6"/>
    <w:rsid w:val="00CB5EE7"/>
    <w:rsid w:val="00CC2F26"/>
    <w:rsid w:val="00CE0CFA"/>
    <w:rsid w:val="00CF36FE"/>
    <w:rsid w:val="00D03F9C"/>
    <w:rsid w:val="00D104DC"/>
    <w:rsid w:val="00D655D2"/>
    <w:rsid w:val="00D964B7"/>
    <w:rsid w:val="00DA1363"/>
    <w:rsid w:val="00DC5F20"/>
    <w:rsid w:val="00DF282F"/>
    <w:rsid w:val="00E06B91"/>
    <w:rsid w:val="00E16FC7"/>
    <w:rsid w:val="00E36A86"/>
    <w:rsid w:val="00E406E6"/>
    <w:rsid w:val="00E44FE4"/>
    <w:rsid w:val="00E5784C"/>
    <w:rsid w:val="00E60FBB"/>
    <w:rsid w:val="00E615DA"/>
    <w:rsid w:val="00E66270"/>
    <w:rsid w:val="00E814F6"/>
    <w:rsid w:val="00E85A0B"/>
    <w:rsid w:val="00E94128"/>
    <w:rsid w:val="00EA6803"/>
    <w:rsid w:val="00ED12FD"/>
    <w:rsid w:val="00EE05D2"/>
    <w:rsid w:val="00EF284B"/>
    <w:rsid w:val="00F01C78"/>
    <w:rsid w:val="00F14A63"/>
    <w:rsid w:val="00F23469"/>
    <w:rsid w:val="00F617F4"/>
    <w:rsid w:val="00F66402"/>
    <w:rsid w:val="00F70CF9"/>
    <w:rsid w:val="00F91EFB"/>
    <w:rsid w:val="00F9530E"/>
    <w:rsid w:val="00FA6438"/>
    <w:rsid w:val="00FC45D9"/>
    <w:rsid w:val="00FC6B63"/>
    <w:rsid w:val="00FD1B5C"/>
    <w:rsid w:val="00FE0B2C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3D88-3426-4840-A1D8-D245D98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2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E0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E024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9E02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DF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E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1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6F11E-C6DC-4318-9862-C24CC44C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6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DIMEC JASNA</dc:creator>
  <cp:keywords/>
  <dc:description/>
  <cp:lastModifiedBy>Jasna Dimec</cp:lastModifiedBy>
  <cp:revision>185</cp:revision>
  <cp:lastPrinted>2024-11-22T12:06:00Z</cp:lastPrinted>
  <dcterms:created xsi:type="dcterms:W3CDTF">2023-10-09T09:14:00Z</dcterms:created>
  <dcterms:modified xsi:type="dcterms:W3CDTF">2024-11-22T16:09:00Z</dcterms:modified>
</cp:coreProperties>
</file>