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24C" w:rsidRPr="00A57092" w:rsidRDefault="009E024C" w:rsidP="009E024C">
      <w:pPr>
        <w:spacing w:before="120"/>
        <w:ind w:right="90"/>
        <w:rPr>
          <w:rFonts w:ascii="Times New Roman" w:hAnsi="Times New Roman" w:cs="Times New Roman"/>
          <w:b/>
          <w:sz w:val="24"/>
          <w:szCs w:val="24"/>
        </w:rPr>
      </w:pPr>
      <w:bookmarkStart w:id="0" w:name="_GoBack"/>
      <w:bookmarkEnd w:id="0"/>
      <w:r w:rsidRPr="00A57092">
        <w:rPr>
          <w:rFonts w:ascii="Times New Roman" w:hAnsi="Times New Roman" w:cs="Times New Roman"/>
          <w:b/>
          <w:sz w:val="24"/>
          <w:szCs w:val="24"/>
        </w:rPr>
        <w:t>26395 Klinički bolnički centar Sestre milosrdnice</w:t>
      </w:r>
    </w:p>
    <w:p w:rsidR="009E024C" w:rsidRPr="008B7057" w:rsidRDefault="008B7057" w:rsidP="008B7057">
      <w:pPr>
        <w:spacing w:before="120" w:line="240" w:lineRule="auto"/>
        <w:rPr>
          <w:rFonts w:ascii="Times New Roman" w:hAnsi="Times New Roman" w:cs="Times New Roman"/>
          <w:b/>
          <w:sz w:val="36"/>
          <w:szCs w:val="36"/>
        </w:rPr>
      </w:pPr>
      <w:r w:rsidRPr="008B7057">
        <w:rPr>
          <w:rFonts w:ascii="Times New Roman" w:hAnsi="Times New Roman" w:cs="Times New Roman"/>
          <w:b/>
          <w:sz w:val="36"/>
          <w:szCs w:val="36"/>
        </w:rPr>
        <w:t>III OBRAZLOŽENJE</w:t>
      </w:r>
    </w:p>
    <w:p w:rsidR="009E024C" w:rsidRPr="00366B19" w:rsidRDefault="009E024C" w:rsidP="009E024C">
      <w:pPr>
        <w:spacing w:before="120" w:line="240" w:lineRule="auto"/>
        <w:rPr>
          <w:rFonts w:ascii="Times New Roman" w:hAnsi="Times New Roman" w:cs="Times New Roman"/>
          <w:b/>
          <w:sz w:val="28"/>
          <w:szCs w:val="28"/>
        </w:rPr>
      </w:pPr>
      <w:r w:rsidRPr="00366B19">
        <w:rPr>
          <w:rFonts w:ascii="Times New Roman" w:hAnsi="Times New Roman" w:cs="Times New Roman"/>
          <w:b/>
          <w:sz w:val="28"/>
          <w:szCs w:val="28"/>
        </w:rPr>
        <w:t xml:space="preserve">1. OBRAZLOŽENJE OPĆEG DIJELA FINANCIJSKOG PLANA </w:t>
      </w:r>
    </w:p>
    <w:p w:rsidR="009E024C" w:rsidRDefault="009E024C" w:rsidP="009E024C">
      <w:pPr>
        <w:spacing w:before="120" w:line="240" w:lineRule="auto"/>
        <w:jc w:val="center"/>
        <w:rPr>
          <w:rFonts w:ascii="Times New Roman" w:hAnsi="Times New Roman" w:cs="Times New Roman"/>
          <w:b/>
          <w:sz w:val="24"/>
          <w:szCs w:val="24"/>
        </w:rPr>
      </w:pPr>
    </w:p>
    <w:p w:rsidR="009E024C" w:rsidRPr="00F61C84" w:rsidRDefault="009E024C" w:rsidP="009E024C">
      <w:pPr>
        <w:spacing w:before="120" w:line="240" w:lineRule="auto"/>
        <w:rPr>
          <w:rFonts w:ascii="Times New Roman" w:hAnsi="Times New Roman" w:cs="Times New Roman"/>
          <w:b/>
          <w:sz w:val="24"/>
          <w:szCs w:val="24"/>
        </w:rPr>
      </w:pPr>
      <w:r>
        <w:rPr>
          <w:rFonts w:ascii="Times New Roman" w:hAnsi="Times New Roman" w:cs="Times New Roman"/>
          <w:b/>
          <w:sz w:val="24"/>
          <w:szCs w:val="24"/>
        </w:rPr>
        <w:t>UVOD</w:t>
      </w:r>
    </w:p>
    <w:p w:rsidR="009E024C" w:rsidRPr="00241E61" w:rsidRDefault="009E024C" w:rsidP="009E024C">
      <w:pPr>
        <w:spacing w:before="120" w:after="0"/>
        <w:ind w:right="91" w:firstLine="709"/>
        <w:jc w:val="both"/>
        <w:rPr>
          <w:rFonts w:ascii="Times New Roman" w:hAnsi="Times New Roman" w:cs="Times New Roman"/>
          <w:sz w:val="24"/>
          <w:szCs w:val="24"/>
        </w:rPr>
      </w:pPr>
      <w:r w:rsidRPr="00241E61">
        <w:rPr>
          <w:rFonts w:ascii="Times New Roman" w:hAnsi="Times New Roman" w:cs="Times New Roman"/>
          <w:sz w:val="24"/>
          <w:szCs w:val="24"/>
        </w:rPr>
        <w:t>Klinički bolnički centar Sestre milosrdnice je zdravstvena ustanova u vlasništvu Republike Hrvatske koja obavlja djelatnost stacionarne zdravstvene zaštite i specijalističko-konzilijarne zdravstvene zaštite (ordinacije, dijagnostičke jedinice, dnevne bolnice i jednodnevne kirurgije, hemodijaliza), te znanstveno nastavnu djelatnost, klinička istraživanja i medicinska vještačenja. U obavljanju poslova sudjeluje još i bolnička ljekarna, odjel medicinske fizike i nemedicinske djelatnosti.</w:t>
      </w:r>
    </w:p>
    <w:p w:rsidR="009E024C" w:rsidRPr="00241E61" w:rsidRDefault="009E024C" w:rsidP="009E024C">
      <w:pPr>
        <w:spacing w:before="120" w:after="0"/>
        <w:ind w:right="91" w:firstLine="720"/>
        <w:jc w:val="both"/>
        <w:rPr>
          <w:rFonts w:ascii="Times New Roman" w:hAnsi="Times New Roman" w:cs="Times New Roman"/>
          <w:sz w:val="24"/>
          <w:szCs w:val="24"/>
        </w:rPr>
      </w:pPr>
      <w:r w:rsidRPr="00241E61">
        <w:rPr>
          <w:rFonts w:ascii="Times New Roman" w:hAnsi="Times New Roman" w:cs="Times New Roman"/>
          <w:sz w:val="24"/>
          <w:szCs w:val="24"/>
        </w:rPr>
        <w:t xml:space="preserve">Ustanova djeluje na tri lokacije, paviljonskog je tipa, </w:t>
      </w:r>
      <w:r w:rsidRPr="00241E61">
        <w:rPr>
          <w:rFonts w:ascii="Times New Roman" w:hAnsi="Times New Roman" w:cs="Times New Roman"/>
          <w:sz w:val="24"/>
          <w:szCs w:val="24"/>
          <w:lang w:val="de-DE"/>
        </w:rPr>
        <w:t>a</w:t>
      </w:r>
      <w:r w:rsidRPr="00241E61">
        <w:rPr>
          <w:rFonts w:ascii="Times New Roman" w:hAnsi="Times New Roman" w:cs="Times New Roman"/>
          <w:sz w:val="24"/>
          <w:szCs w:val="24"/>
        </w:rPr>
        <w:t xml:space="preserve"> </w:t>
      </w:r>
      <w:r w:rsidRPr="00241E61">
        <w:rPr>
          <w:rFonts w:ascii="Times New Roman" w:hAnsi="Times New Roman" w:cs="Times New Roman"/>
          <w:sz w:val="24"/>
          <w:szCs w:val="24"/>
          <w:lang w:val="de-DE"/>
        </w:rPr>
        <w:t>u</w:t>
      </w:r>
      <w:r w:rsidRPr="00241E61">
        <w:rPr>
          <w:rFonts w:ascii="Times New Roman" w:hAnsi="Times New Roman" w:cs="Times New Roman"/>
          <w:sz w:val="24"/>
          <w:szCs w:val="24"/>
        </w:rPr>
        <w:t xml:space="preserve"> </w:t>
      </w:r>
      <w:r w:rsidRPr="00241E61">
        <w:rPr>
          <w:rFonts w:ascii="Times New Roman" w:hAnsi="Times New Roman" w:cs="Times New Roman"/>
          <w:sz w:val="24"/>
          <w:szCs w:val="24"/>
          <w:lang w:val="de-DE"/>
        </w:rPr>
        <w:t>unutarnjem</w:t>
      </w:r>
      <w:r w:rsidRPr="00241E61">
        <w:rPr>
          <w:rFonts w:ascii="Times New Roman" w:hAnsi="Times New Roman" w:cs="Times New Roman"/>
          <w:sz w:val="24"/>
          <w:szCs w:val="24"/>
        </w:rPr>
        <w:t xml:space="preserve"> </w:t>
      </w:r>
      <w:r w:rsidRPr="00241E61">
        <w:rPr>
          <w:rFonts w:ascii="Times New Roman" w:hAnsi="Times New Roman" w:cs="Times New Roman"/>
          <w:sz w:val="24"/>
          <w:szCs w:val="24"/>
          <w:lang w:val="de-DE"/>
        </w:rPr>
        <w:t>ustroju</w:t>
      </w:r>
      <w:r w:rsidRPr="00241E61">
        <w:rPr>
          <w:rFonts w:ascii="Times New Roman" w:hAnsi="Times New Roman" w:cs="Times New Roman"/>
          <w:sz w:val="24"/>
          <w:szCs w:val="24"/>
        </w:rPr>
        <w:t xml:space="preserve"> </w:t>
      </w:r>
      <w:r w:rsidRPr="00241E61">
        <w:rPr>
          <w:rFonts w:ascii="Times New Roman" w:hAnsi="Times New Roman" w:cs="Times New Roman"/>
          <w:sz w:val="24"/>
          <w:szCs w:val="24"/>
          <w:lang w:val="de-DE"/>
        </w:rPr>
        <w:t>medicinskih</w:t>
      </w:r>
      <w:r w:rsidRPr="00241E61">
        <w:rPr>
          <w:rFonts w:ascii="Times New Roman" w:hAnsi="Times New Roman" w:cs="Times New Roman"/>
          <w:sz w:val="24"/>
          <w:szCs w:val="24"/>
        </w:rPr>
        <w:t xml:space="preserve"> </w:t>
      </w:r>
      <w:r w:rsidRPr="00241E61">
        <w:rPr>
          <w:rFonts w:ascii="Times New Roman" w:hAnsi="Times New Roman" w:cs="Times New Roman"/>
          <w:sz w:val="24"/>
          <w:szCs w:val="24"/>
          <w:lang w:val="de-DE"/>
        </w:rPr>
        <w:t>djelatnosti</w:t>
      </w:r>
      <w:r w:rsidRPr="00241E61">
        <w:rPr>
          <w:rFonts w:ascii="Times New Roman" w:hAnsi="Times New Roman" w:cs="Times New Roman"/>
          <w:sz w:val="24"/>
          <w:szCs w:val="24"/>
        </w:rPr>
        <w:t xml:space="preserve"> </w:t>
      </w:r>
      <w:r w:rsidRPr="00241E61">
        <w:rPr>
          <w:rFonts w:ascii="Times New Roman" w:hAnsi="Times New Roman" w:cs="Times New Roman"/>
          <w:sz w:val="24"/>
          <w:szCs w:val="24"/>
          <w:lang w:val="de-DE"/>
        </w:rPr>
        <w:t>Klini</w:t>
      </w:r>
      <w:r w:rsidRPr="00241E61">
        <w:rPr>
          <w:rFonts w:ascii="Times New Roman" w:hAnsi="Times New Roman" w:cs="Times New Roman"/>
          <w:sz w:val="24"/>
          <w:szCs w:val="24"/>
        </w:rPr>
        <w:t>č</w:t>
      </w:r>
      <w:r w:rsidRPr="00241E61">
        <w:rPr>
          <w:rFonts w:ascii="Times New Roman" w:hAnsi="Times New Roman" w:cs="Times New Roman"/>
          <w:sz w:val="24"/>
          <w:szCs w:val="24"/>
          <w:lang w:val="de-DE"/>
        </w:rPr>
        <w:t>kog</w:t>
      </w:r>
      <w:r w:rsidRPr="00241E61">
        <w:rPr>
          <w:rFonts w:ascii="Times New Roman" w:hAnsi="Times New Roman" w:cs="Times New Roman"/>
          <w:sz w:val="24"/>
          <w:szCs w:val="24"/>
        </w:rPr>
        <w:t xml:space="preserve"> </w:t>
      </w:r>
      <w:r w:rsidRPr="00241E61">
        <w:rPr>
          <w:rFonts w:ascii="Times New Roman" w:hAnsi="Times New Roman" w:cs="Times New Roman"/>
          <w:sz w:val="24"/>
          <w:szCs w:val="24"/>
          <w:lang w:val="de-DE"/>
        </w:rPr>
        <w:t>bolni</w:t>
      </w:r>
      <w:r w:rsidRPr="00241E61">
        <w:rPr>
          <w:rFonts w:ascii="Times New Roman" w:hAnsi="Times New Roman" w:cs="Times New Roman"/>
          <w:sz w:val="24"/>
          <w:szCs w:val="24"/>
        </w:rPr>
        <w:t>č</w:t>
      </w:r>
      <w:r w:rsidRPr="00241E61">
        <w:rPr>
          <w:rFonts w:ascii="Times New Roman" w:hAnsi="Times New Roman" w:cs="Times New Roman"/>
          <w:sz w:val="24"/>
          <w:szCs w:val="24"/>
          <w:lang w:val="de-DE"/>
        </w:rPr>
        <w:t>kog</w:t>
      </w:r>
      <w:r w:rsidRPr="00241E61">
        <w:rPr>
          <w:rFonts w:ascii="Times New Roman" w:hAnsi="Times New Roman" w:cs="Times New Roman"/>
          <w:sz w:val="24"/>
          <w:szCs w:val="24"/>
        </w:rPr>
        <w:t xml:space="preserve"> </w:t>
      </w:r>
      <w:r w:rsidRPr="00241E61">
        <w:rPr>
          <w:rFonts w:ascii="Times New Roman" w:hAnsi="Times New Roman" w:cs="Times New Roman"/>
          <w:sz w:val="24"/>
          <w:szCs w:val="24"/>
          <w:lang w:val="de-DE"/>
        </w:rPr>
        <w:t>centra</w:t>
      </w:r>
      <w:r w:rsidRPr="00241E61">
        <w:rPr>
          <w:rFonts w:ascii="Times New Roman" w:hAnsi="Times New Roman" w:cs="Times New Roman"/>
          <w:sz w:val="24"/>
          <w:szCs w:val="24"/>
        </w:rPr>
        <w:t xml:space="preserve"> </w:t>
      </w:r>
      <w:r w:rsidRPr="00241E61">
        <w:rPr>
          <w:rFonts w:ascii="Times New Roman" w:hAnsi="Times New Roman" w:cs="Times New Roman"/>
          <w:sz w:val="24"/>
          <w:szCs w:val="24"/>
          <w:lang w:val="de-DE"/>
        </w:rPr>
        <w:t>sudjelu</w:t>
      </w:r>
      <w:r>
        <w:rPr>
          <w:rFonts w:ascii="Times New Roman" w:hAnsi="Times New Roman" w:cs="Times New Roman"/>
          <w:sz w:val="24"/>
          <w:szCs w:val="24"/>
          <w:lang w:val="de-DE"/>
        </w:rPr>
        <w:t>je 26 medicinskih organizacijsk</w:t>
      </w:r>
      <w:r w:rsidRPr="00241E61">
        <w:rPr>
          <w:rFonts w:ascii="Times New Roman" w:hAnsi="Times New Roman" w:cs="Times New Roman"/>
          <w:sz w:val="24"/>
          <w:szCs w:val="24"/>
          <w:lang w:val="de-DE"/>
        </w:rPr>
        <w:t>ih</w:t>
      </w:r>
      <w:r>
        <w:rPr>
          <w:rFonts w:ascii="Times New Roman" w:hAnsi="Times New Roman" w:cs="Times New Roman"/>
          <w:sz w:val="24"/>
          <w:szCs w:val="24"/>
          <w:lang w:val="de-DE"/>
        </w:rPr>
        <w:t xml:space="preserve"> jedinica, te 14</w:t>
      </w:r>
      <w:r w:rsidRPr="00241E61">
        <w:rPr>
          <w:rFonts w:ascii="Times New Roman" w:hAnsi="Times New Roman" w:cs="Times New Roman"/>
          <w:sz w:val="24"/>
          <w:szCs w:val="24"/>
          <w:lang w:val="de-DE"/>
        </w:rPr>
        <w:t xml:space="preserve"> nemedicinskih organizacijskih jedinica. Rješenjem Mi</w:t>
      </w:r>
      <w:r w:rsidRPr="00241E61">
        <w:rPr>
          <w:rFonts w:ascii="Times New Roman" w:hAnsi="Times New Roman" w:cs="Times New Roman"/>
          <w:sz w:val="24"/>
          <w:szCs w:val="24"/>
        </w:rPr>
        <w:t>nistarstva zdravstva Republike Hrvatske priznato je 28 referentnih centara u kojima se obavljaju najsloženiji oblici zdravstvene zaštite.</w:t>
      </w:r>
    </w:p>
    <w:p w:rsidR="009E024C" w:rsidRPr="00241E61" w:rsidRDefault="009E024C" w:rsidP="009E024C">
      <w:pPr>
        <w:spacing w:before="120" w:after="0"/>
        <w:ind w:right="90" w:firstLine="720"/>
        <w:jc w:val="both"/>
        <w:rPr>
          <w:rFonts w:ascii="Times New Roman" w:hAnsi="Times New Roman" w:cs="Times New Roman"/>
          <w:sz w:val="24"/>
          <w:szCs w:val="24"/>
        </w:rPr>
      </w:pPr>
      <w:r w:rsidRPr="00241E61">
        <w:rPr>
          <w:rFonts w:ascii="Times New Roman" w:hAnsi="Times New Roman" w:cs="Times New Roman"/>
          <w:sz w:val="24"/>
          <w:szCs w:val="24"/>
        </w:rPr>
        <w:t>Upravo iz tog razloga, osim bolesnika iz pripadajućih gradskih četvrti, u Klinički bolnički centar dolaze i pacijenti ne samo iz drugih županija naše Republike, već i iz okolnih regija (oko 25 % pacijenata odnosi se na područja koja pripadaju drugim zdravstvenim ustanovama).</w:t>
      </w:r>
    </w:p>
    <w:p w:rsidR="009E024C" w:rsidRPr="00241E61" w:rsidRDefault="009E024C" w:rsidP="009E024C">
      <w:pPr>
        <w:spacing w:before="120" w:after="0"/>
        <w:ind w:right="91" w:firstLine="720"/>
        <w:jc w:val="both"/>
        <w:rPr>
          <w:rFonts w:ascii="Times New Roman" w:hAnsi="Times New Roman" w:cs="Times New Roman"/>
          <w:sz w:val="24"/>
          <w:szCs w:val="24"/>
        </w:rPr>
      </w:pPr>
      <w:r w:rsidRPr="00241E61">
        <w:rPr>
          <w:rFonts w:ascii="Times New Roman" w:hAnsi="Times New Roman" w:cs="Times New Roman"/>
          <w:sz w:val="24"/>
          <w:szCs w:val="24"/>
        </w:rPr>
        <w:t>S Hrvatskim zavodom za zdravstveno osiguranje Klinički bolnički centar ima ugovoreno 1.149 postelja za liječenje bolesnika od akutnih bolesti i za produženo liječenje, 236 mjesta u dnevnim bolnicama te preko 450 različitih ambulanti i dijagnostičkih jedinica, a u Ustanovi radi 3.84</w:t>
      </w:r>
      <w:r>
        <w:rPr>
          <w:rFonts w:ascii="Times New Roman" w:hAnsi="Times New Roman" w:cs="Times New Roman"/>
          <w:sz w:val="24"/>
          <w:szCs w:val="24"/>
        </w:rPr>
        <w:t>1</w:t>
      </w:r>
      <w:r w:rsidRPr="00241E61">
        <w:rPr>
          <w:rFonts w:ascii="Times New Roman" w:hAnsi="Times New Roman" w:cs="Times New Roman"/>
          <w:sz w:val="24"/>
          <w:szCs w:val="24"/>
        </w:rPr>
        <w:t xml:space="preserve"> stalno zaposleni</w:t>
      </w:r>
      <w:r>
        <w:rPr>
          <w:rFonts w:ascii="Times New Roman" w:hAnsi="Times New Roman" w:cs="Times New Roman"/>
          <w:sz w:val="24"/>
          <w:szCs w:val="24"/>
        </w:rPr>
        <w:t xml:space="preserve"> djelatnik</w:t>
      </w:r>
      <w:r w:rsidRPr="00241E61">
        <w:rPr>
          <w:rFonts w:ascii="Times New Roman" w:hAnsi="Times New Roman" w:cs="Times New Roman"/>
          <w:sz w:val="24"/>
          <w:szCs w:val="24"/>
        </w:rPr>
        <w:t>.</w:t>
      </w:r>
    </w:p>
    <w:p w:rsidR="009E024C" w:rsidRPr="00241E61" w:rsidRDefault="009E024C" w:rsidP="009E024C">
      <w:pPr>
        <w:spacing w:before="120" w:after="0"/>
        <w:ind w:right="90" w:firstLine="720"/>
        <w:jc w:val="both"/>
        <w:rPr>
          <w:rFonts w:ascii="Times New Roman" w:hAnsi="Times New Roman" w:cs="Times New Roman"/>
          <w:sz w:val="24"/>
          <w:szCs w:val="24"/>
        </w:rPr>
      </w:pPr>
      <w:r w:rsidRPr="00241E61">
        <w:rPr>
          <w:rFonts w:ascii="Times New Roman" w:hAnsi="Times New Roman" w:cs="Times New Roman"/>
          <w:sz w:val="24"/>
          <w:szCs w:val="24"/>
        </w:rPr>
        <w:t>Djelovanje K</w:t>
      </w:r>
      <w:r>
        <w:rPr>
          <w:rFonts w:ascii="Times New Roman" w:hAnsi="Times New Roman" w:cs="Times New Roman"/>
          <w:sz w:val="24"/>
          <w:szCs w:val="24"/>
        </w:rPr>
        <w:t>liničkog bolničkog centr</w:t>
      </w:r>
      <w:r w:rsidRPr="00241E61">
        <w:rPr>
          <w:rFonts w:ascii="Times New Roman" w:hAnsi="Times New Roman" w:cs="Times New Roman"/>
          <w:sz w:val="24"/>
          <w:szCs w:val="24"/>
        </w:rPr>
        <w:t>a je usmjereno prvenstveno na pružanje visoke razine zdravstvene zaštite bolesnicima, te poboljšanje uvjeta funkcioniranja razvojem pojedinih djelatnosti putem projekata financiranih od strane Europske unije.</w:t>
      </w:r>
    </w:p>
    <w:p w:rsidR="009E024C" w:rsidRPr="00241E61" w:rsidRDefault="00C86A06" w:rsidP="009E024C">
      <w:pPr>
        <w:spacing w:before="120" w:after="0"/>
        <w:ind w:right="91" w:firstLine="720"/>
        <w:jc w:val="both"/>
        <w:rPr>
          <w:rFonts w:ascii="Times New Roman" w:hAnsi="Times New Roman" w:cs="Times New Roman"/>
          <w:sz w:val="24"/>
          <w:szCs w:val="24"/>
        </w:rPr>
      </w:pPr>
      <w:r>
        <w:rPr>
          <w:rFonts w:ascii="Times New Roman" w:hAnsi="Times New Roman" w:cs="Times New Roman"/>
          <w:sz w:val="24"/>
          <w:szCs w:val="24"/>
        </w:rPr>
        <w:t>F</w:t>
      </w:r>
      <w:r w:rsidR="009E024C" w:rsidRPr="00241E61">
        <w:rPr>
          <w:rFonts w:ascii="Times New Roman" w:hAnsi="Times New Roman" w:cs="Times New Roman"/>
          <w:sz w:val="24"/>
          <w:szCs w:val="24"/>
        </w:rPr>
        <w:t>inancijsk</w:t>
      </w:r>
      <w:r w:rsidR="00313BBD">
        <w:rPr>
          <w:rFonts w:ascii="Times New Roman" w:hAnsi="Times New Roman" w:cs="Times New Roman"/>
          <w:sz w:val="24"/>
          <w:szCs w:val="24"/>
        </w:rPr>
        <w:t>i</w:t>
      </w:r>
      <w:r>
        <w:rPr>
          <w:rFonts w:ascii="Times New Roman" w:hAnsi="Times New Roman" w:cs="Times New Roman"/>
          <w:sz w:val="24"/>
          <w:szCs w:val="24"/>
        </w:rPr>
        <w:t xml:space="preserve"> plan</w:t>
      </w:r>
      <w:r w:rsidR="009E024C" w:rsidRPr="00241E61">
        <w:rPr>
          <w:rFonts w:ascii="Times New Roman" w:hAnsi="Times New Roman" w:cs="Times New Roman"/>
          <w:sz w:val="24"/>
          <w:szCs w:val="24"/>
        </w:rPr>
        <w:t xml:space="preserve"> Kliničkog bolničkog centra Sestre milosrdnice izrađen je sukladno odredbama Zakona o proračunu, te Uputi Ministarstva zdravstva za izradu prijedloga državnog proračuna za razdoblje 20</w:t>
      </w:r>
      <w:r w:rsidR="009E024C">
        <w:rPr>
          <w:rFonts w:ascii="Times New Roman" w:hAnsi="Times New Roman" w:cs="Times New Roman"/>
          <w:sz w:val="24"/>
          <w:szCs w:val="24"/>
        </w:rPr>
        <w:t>24</w:t>
      </w:r>
      <w:r w:rsidR="009E024C" w:rsidRPr="00241E61">
        <w:rPr>
          <w:rFonts w:ascii="Times New Roman" w:hAnsi="Times New Roman" w:cs="Times New Roman"/>
          <w:sz w:val="24"/>
          <w:szCs w:val="24"/>
        </w:rPr>
        <w:t>. -</w:t>
      </w:r>
      <w:r w:rsidR="009E024C">
        <w:rPr>
          <w:rFonts w:ascii="Times New Roman" w:hAnsi="Times New Roman" w:cs="Times New Roman"/>
          <w:sz w:val="24"/>
          <w:szCs w:val="24"/>
        </w:rPr>
        <w:t xml:space="preserve"> </w:t>
      </w:r>
      <w:r w:rsidR="009E024C" w:rsidRPr="00241E61">
        <w:rPr>
          <w:rFonts w:ascii="Times New Roman" w:hAnsi="Times New Roman" w:cs="Times New Roman"/>
          <w:sz w:val="24"/>
          <w:szCs w:val="24"/>
        </w:rPr>
        <w:t>202</w:t>
      </w:r>
      <w:r w:rsidR="009E024C">
        <w:rPr>
          <w:rFonts w:ascii="Times New Roman" w:hAnsi="Times New Roman" w:cs="Times New Roman"/>
          <w:sz w:val="24"/>
          <w:szCs w:val="24"/>
        </w:rPr>
        <w:t>6</w:t>
      </w:r>
      <w:r w:rsidR="009E024C" w:rsidRPr="00241E61">
        <w:rPr>
          <w:rFonts w:ascii="Times New Roman" w:hAnsi="Times New Roman" w:cs="Times New Roman"/>
          <w:sz w:val="24"/>
          <w:szCs w:val="24"/>
        </w:rPr>
        <w:t>. godine. U navedenoj Uputi su dani limiti rashoda za pojedine izvore financiranja, a plan se iskazuje na razini skupine računskog plana (druga razina ekonomske klasifikacije) i za plan 202</w:t>
      </w:r>
      <w:r w:rsidR="009E024C">
        <w:rPr>
          <w:rFonts w:ascii="Times New Roman" w:hAnsi="Times New Roman" w:cs="Times New Roman"/>
          <w:sz w:val="24"/>
          <w:szCs w:val="24"/>
        </w:rPr>
        <w:t>4</w:t>
      </w:r>
      <w:r w:rsidR="009E024C" w:rsidRPr="00241E61">
        <w:rPr>
          <w:rFonts w:ascii="Times New Roman" w:hAnsi="Times New Roman" w:cs="Times New Roman"/>
          <w:sz w:val="24"/>
          <w:szCs w:val="24"/>
        </w:rPr>
        <w:t>. godine i za projekcije za 202</w:t>
      </w:r>
      <w:r w:rsidR="009E024C">
        <w:rPr>
          <w:rFonts w:ascii="Times New Roman" w:hAnsi="Times New Roman" w:cs="Times New Roman"/>
          <w:sz w:val="24"/>
          <w:szCs w:val="24"/>
        </w:rPr>
        <w:t>5. i 2026</w:t>
      </w:r>
      <w:r w:rsidR="009E024C" w:rsidRPr="00241E61">
        <w:rPr>
          <w:rFonts w:ascii="Times New Roman" w:hAnsi="Times New Roman" w:cs="Times New Roman"/>
          <w:sz w:val="24"/>
          <w:szCs w:val="24"/>
        </w:rPr>
        <w:t>. godinu. Plan je iskazan po gotovinskom načelu s obzirom da su zdravstvene ustanove uključene u sustav Državne riznice kao korisnik treće razine.</w:t>
      </w:r>
    </w:p>
    <w:p w:rsidR="009E024C" w:rsidRPr="00241E61" w:rsidRDefault="009E024C" w:rsidP="009E024C">
      <w:pPr>
        <w:spacing w:before="120" w:after="0"/>
        <w:ind w:right="91" w:firstLine="720"/>
        <w:jc w:val="both"/>
        <w:rPr>
          <w:rFonts w:ascii="Times New Roman" w:hAnsi="Times New Roman" w:cs="Times New Roman"/>
          <w:sz w:val="24"/>
          <w:szCs w:val="24"/>
        </w:rPr>
      </w:pPr>
      <w:r w:rsidRPr="00E2493B">
        <w:rPr>
          <w:rFonts w:ascii="Times New Roman" w:hAnsi="Times New Roman" w:cs="Times New Roman"/>
          <w:sz w:val="24"/>
          <w:szCs w:val="24"/>
        </w:rPr>
        <w:t>Uk</w:t>
      </w:r>
      <w:r w:rsidR="007D7426">
        <w:rPr>
          <w:rFonts w:ascii="Times New Roman" w:hAnsi="Times New Roman" w:cs="Times New Roman"/>
          <w:sz w:val="24"/>
          <w:szCs w:val="24"/>
        </w:rPr>
        <w:t xml:space="preserve">upno planirani prihodi </w:t>
      </w:r>
      <w:r w:rsidR="007D7426" w:rsidRPr="00C927F4">
        <w:rPr>
          <w:rFonts w:ascii="Times New Roman" w:hAnsi="Times New Roman" w:cs="Times New Roman"/>
          <w:sz w:val="24"/>
          <w:szCs w:val="24"/>
        </w:rPr>
        <w:t>iznose 284</w:t>
      </w:r>
      <w:r w:rsidRPr="00C927F4">
        <w:rPr>
          <w:rFonts w:ascii="Times New Roman" w:hAnsi="Times New Roman" w:cs="Times New Roman"/>
          <w:sz w:val="24"/>
          <w:szCs w:val="24"/>
        </w:rPr>
        <w:t>.</w:t>
      </w:r>
      <w:r w:rsidR="007D7426" w:rsidRPr="00C927F4">
        <w:rPr>
          <w:rFonts w:ascii="Times New Roman" w:hAnsi="Times New Roman" w:cs="Times New Roman"/>
          <w:sz w:val="24"/>
          <w:szCs w:val="24"/>
        </w:rPr>
        <w:t>0</w:t>
      </w:r>
      <w:r w:rsidR="00C927F4" w:rsidRPr="00C927F4">
        <w:rPr>
          <w:rFonts w:ascii="Times New Roman" w:hAnsi="Times New Roman" w:cs="Times New Roman"/>
          <w:sz w:val="24"/>
          <w:szCs w:val="24"/>
        </w:rPr>
        <w:t>20</w:t>
      </w:r>
      <w:r w:rsidR="007D7426" w:rsidRPr="00C927F4">
        <w:rPr>
          <w:rFonts w:ascii="Times New Roman" w:hAnsi="Times New Roman" w:cs="Times New Roman"/>
          <w:sz w:val="24"/>
          <w:szCs w:val="24"/>
        </w:rPr>
        <w:t>.</w:t>
      </w:r>
      <w:r w:rsidR="00C927F4" w:rsidRPr="00C927F4">
        <w:rPr>
          <w:rFonts w:ascii="Times New Roman" w:hAnsi="Times New Roman" w:cs="Times New Roman"/>
          <w:sz w:val="24"/>
          <w:szCs w:val="24"/>
        </w:rPr>
        <w:t>538</w:t>
      </w:r>
      <w:r w:rsidRPr="00C927F4">
        <w:rPr>
          <w:rFonts w:ascii="Times New Roman" w:hAnsi="Times New Roman" w:cs="Times New Roman"/>
          <w:sz w:val="24"/>
          <w:szCs w:val="24"/>
        </w:rPr>
        <w:t xml:space="preserve"> eura</w:t>
      </w:r>
      <w:r w:rsidRPr="00E2493B">
        <w:rPr>
          <w:rFonts w:ascii="Times New Roman" w:hAnsi="Times New Roman" w:cs="Times New Roman"/>
          <w:sz w:val="24"/>
          <w:szCs w:val="24"/>
        </w:rPr>
        <w:t xml:space="preserve">, dok su ukupni rashodi planirani u iznosu od </w:t>
      </w:r>
      <w:r w:rsidR="007D7426">
        <w:rPr>
          <w:rFonts w:ascii="Times New Roman" w:hAnsi="Times New Roman" w:cs="Times New Roman"/>
          <w:sz w:val="24"/>
          <w:szCs w:val="24"/>
        </w:rPr>
        <w:t>284.001.343</w:t>
      </w:r>
      <w:r w:rsidRPr="00E2493B">
        <w:rPr>
          <w:rFonts w:ascii="Times New Roman" w:hAnsi="Times New Roman" w:cs="Times New Roman"/>
          <w:sz w:val="24"/>
          <w:szCs w:val="24"/>
        </w:rPr>
        <w:t xml:space="preserve"> eura. Razlika </w:t>
      </w:r>
      <w:r w:rsidRPr="00241E61">
        <w:rPr>
          <w:rFonts w:ascii="Times New Roman" w:hAnsi="Times New Roman" w:cs="Times New Roman"/>
          <w:sz w:val="24"/>
          <w:szCs w:val="24"/>
        </w:rPr>
        <w:t>je nivelirana prijenosom sredstava iz prethodne godine i prijenosom sredstava u slijedeću godinu koji se ne iskazuju kao prihodi i rashodi (naveli smo ih ispod tablice prihoda i tablice rashoda po izvorima financiranja), već su prikazani u Sažetku Računa financiranja i uravnotežuju financijski plan na način da je razlika između planiranih prihoda i rashoda svedena na 0 eura.</w:t>
      </w:r>
    </w:p>
    <w:p w:rsidR="007E5A4B" w:rsidRDefault="007E5A4B" w:rsidP="005A45CB">
      <w:pPr>
        <w:spacing w:line="240" w:lineRule="auto"/>
        <w:jc w:val="both"/>
        <w:rPr>
          <w:rFonts w:ascii="Times New Roman" w:hAnsi="Times New Roman" w:cs="Times New Roman"/>
          <w:sz w:val="24"/>
          <w:szCs w:val="24"/>
        </w:rPr>
      </w:pPr>
    </w:p>
    <w:p w:rsidR="009E024C" w:rsidRPr="00B72343" w:rsidRDefault="009E024C" w:rsidP="005A45CB">
      <w:pPr>
        <w:spacing w:line="240" w:lineRule="auto"/>
        <w:jc w:val="both"/>
        <w:rPr>
          <w:rFonts w:ascii="Times New Roman" w:hAnsi="Times New Roman" w:cs="Times New Roman"/>
          <w:b/>
          <w:sz w:val="24"/>
          <w:szCs w:val="24"/>
        </w:rPr>
      </w:pPr>
      <w:r w:rsidRPr="00B72343">
        <w:rPr>
          <w:rFonts w:ascii="Times New Roman" w:hAnsi="Times New Roman" w:cs="Times New Roman"/>
          <w:b/>
          <w:sz w:val="24"/>
          <w:szCs w:val="24"/>
        </w:rPr>
        <w:lastRenderedPageBreak/>
        <w:t>PRIHODI I PRIMICI</w:t>
      </w:r>
    </w:p>
    <w:p w:rsidR="009E024C" w:rsidRPr="00D655D2" w:rsidRDefault="009E024C" w:rsidP="009E024C">
      <w:pPr>
        <w:spacing w:before="120" w:line="240" w:lineRule="auto"/>
        <w:ind w:firstLine="708"/>
        <w:jc w:val="both"/>
        <w:rPr>
          <w:rFonts w:ascii="Times New Roman" w:hAnsi="Times New Roman" w:cs="Times New Roman"/>
          <w:sz w:val="24"/>
          <w:szCs w:val="24"/>
        </w:rPr>
      </w:pPr>
      <w:r w:rsidRPr="00E615DA">
        <w:rPr>
          <w:rFonts w:ascii="Times New Roman" w:hAnsi="Times New Roman" w:cs="Times New Roman"/>
          <w:sz w:val="24"/>
          <w:szCs w:val="24"/>
        </w:rPr>
        <w:t xml:space="preserve">Ukupni prihodi </w:t>
      </w:r>
      <w:r w:rsidR="00F14A63" w:rsidRPr="00E615DA">
        <w:rPr>
          <w:rFonts w:ascii="Times New Roman" w:hAnsi="Times New Roman" w:cs="Times New Roman"/>
          <w:sz w:val="24"/>
          <w:szCs w:val="24"/>
        </w:rPr>
        <w:t xml:space="preserve">i primici </w:t>
      </w:r>
      <w:r w:rsidRPr="00E615DA">
        <w:rPr>
          <w:rFonts w:ascii="Times New Roman" w:hAnsi="Times New Roman" w:cs="Times New Roman"/>
          <w:sz w:val="24"/>
          <w:szCs w:val="24"/>
        </w:rPr>
        <w:t xml:space="preserve">za 2024. godinu planirani su u iznosu od </w:t>
      </w:r>
      <w:r w:rsidR="00287C1A" w:rsidRPr="00E615DA">
        <w:rPr>
          <w:rFonts w:ascii="Times New Roman" w:hAnsi="Times New Roman" w:cs="Times New Roman"/>
          <w:sz w:val="24"/>
          <w:szCs w:val="24"/>
        </w:rPr>
        <w:t>284.020.538</w:t>
      </w:r>
      <w:r w:rsidRPr="00E615DA">
        <w:rPr>
          <w:rFonts w:ascii="Times New Roman" w:hAnsi="Times New Roman" w:cs="Times New Roman"/>
          <w:sz w:val="24"/>
          <w:szCs w:val="24"/>
        </w:rPr>
        <w:t xml:space="preserve"> eura</w:t>
      </w:r>
      <w:r w:rsidRPr="00287C1A">
        <w:rPr>
          <w:rFonts w:ascii="Times New Roman" w:hAnsi="Times New Roman" w:cs="Times New Roman"/>
          <w:sz w:val="24"/>
          <w:szCs w:val="24"/>
        </w:rPr>
        <w:t xml:space="preserve"> </w:t>
      </w:r>
      <w:r w:rsidR="00F70CF9">
        <w:rPr>
          <w:rFonts w:ascii="Times New Roman" w:hAnsi="Times New Roman" w:cs="Times New Roman"/>
          <w:sz w:val="24"/>
          <w:szCs w:val="24"/>
        </w:rPr>
        <w:t xml:space="preserve">i veći su </w:t>
      </w:r>
      <w:r w:rsidRPr="00D655D2">
        <w:rPr>
          <w:rFonts w:ascii="Times New Roman" w:hAnsi="Times New Roman" w:cs="Times New Roman"/>
          <w:sz w:val="24"/>
          <w:szCs w:val="24"/>
        </w:rPr>
        <w:t>3,</w:t>
      </w:r>
      <w:r w:rsidR="00D655D2" w:rsidRPr="00D655D2">
        <w:rPr>
          <w:rFonts w:ascii="Times New Roman" w:hAnsi="Times New Roman" w:cs="Times New Roman"/>
          <w:sz w:val="24"/>
          <w:szCs w:val="24"/>
        </w:rPr>
        <w:t>31</w:t>
      </w:r>
      <w:r w:rsidRPr="00D655D2">
        <w:rPr>
          <w:rFonts w:ascii="Times New Roman" w:hAnsi="Times New Roman" w:cs="Times New Roman"/>
          <w:sz w:val="24"/>
          <w:szCs w:val="24"/>
        </w:rPr>
        <w:t xml:space="preserve"> % u </w:t>
      </w:r>
      <w:r>
        <w:rPr>
          <w:rFonts w:ascii="Times New Roman" w:hAnsi="Times New Roman" w:cs="Times New Roman"/>
          <w:sz w:val="24"/>
          <w:szCs w:val="24"/>
        </w:rPr>
        <w:t xml:space="preserve">odnosu na </w:t>
      </w:r>
      <w:r w:rsidR="00F14A63">
        <w:rPr>
          <w:rFonts w:ascii="Times New Roman" w:hAnsi="Times New Roman" w:cs="Times New Roman"/>
          <w:sz w:val="24"/>
          <w:szCs w:val="24"/>
        </w:rPr>
        <w:t xml:space="preserve">prihode utvrđene u </w:t>
      </w:r>
      <w:r>
        <w:rPr>
          <w:rFonts w:ascii="Times New Roman" w:hAnsi="Times New Roman" w:cs="Times New Roman"/>
          <w:sz w:val="24"/>
          <w:szCs w:val="24"/>
        </w:rPr>
        <w:t>Izmjen</w:t>
      </w:r>
      <w:r w:rsidR="00F14A63">
        <w:rPr>
          <w:rFonts w:ascii="Times New Roman" w:hAnsi="Times New Roman" w:cs="Times New Roman"/>
          <w:sz w:val="24"/>
          <w:szCs w:val="24"/>
        </w:rPr>
        <w:t>ama</w:t>
      </w:r>
      <w:r>
        <w:rPr>
          <w:rFonts w:ascii="Times New Roman" w:hAnsi="Times New Roman" w:cs="Times New Roman"/>
          <w:sz w:val="24"/>
          <w:szCs w:val="24"/>
        </w:rPr>
        <w:t xml:space="preserve"> i dopun</w:t>
      </w:r>
      <w:r w:rsidR="00F14A63">
        <w:rPr>
          <w:rFonts w:ascii="Times New Roman" w:hAnsi="Times New Roman" w:cs="Times New Roman"/>
          <w:sz w:val="24"/>
          <w:szCs w:val="24"/>
        </w:rPr>
        <w:t>ama</w:t>
      </w:r>
      <w:r>
        <w:rPr>
          <w:rFonts w:ascii="Times New Roman" w:hAnsi="Times New Roman" w:cs="Times New Roman"/>
          <w:sz w:val="24"/>
          <w:szCs w:val="24"/>
        </w:rPr>
        <w:t xml:space="preserve"> financijskog plana poslovanja KBC Sestre milosrdnice za 2023. godinu (Rebalans </w:t>
      </w:r>
      <w:r w:rsidR="007D7426">
        <w:rPr>
          <w:rFonts w:ascii="Times New Roman" w:hAnsi="Times New Roman" w:cs="Times New Roman"/>
          <w:sz w:val="24"/>
          <w:szCs w:val="24"/>
        </w:rPr>
        <w:t>I</w:t>
      </w:r>
      <w:r>
        <w:rPr>
          <w:rFonts w:ascii="Times New Roman" w:hAnsi="Times New Roman" w:cs="Times New Roman"/>
          <w:sz w:val="24"/>
          <w:szCs w:val="24"/>
        </w:rPr>
        <w:t xml:space="preserve">I). </w:t>
      </w:r>
      <w:r w:rsidRPr="00E615DA">
        <w:rPr>
          <w:rFonts w:ascii="Times New Roman" w:hAnsi="Times New Roman" w:cs="Times New Roman"/>
          <w:sz w:val="24"/>
          <w:szCs w:val="24"/>
        </w:rPr>
        <w:t>Planirani prihodi</w:t>
      </w:r>
      <w:r w:rsidR="00E615DA" w:rsidRPr="00E615DA">
        <w:rPr>
          <w:rFonts w:ascii="Times New Roman" w:hAnsi="Times New Roman" w:cs="Times New Roman"/>
          <w:sz w:val="24"/>
          <w:szCs w:val="24"/>
        </w:rPr>
        <w:t xml:space="preserve"> i primici</w:t>
      </w:r>
      <w:r w:rsidRPr="00E615DA">
        <w:rPr>
          <w:rFonts w:ascii="Times New Roman" w:hAnsi="Times New Roman" w:cs="Times New Roman"/>
          <w:sz w:val="24"/>
          <w:szCs w:val="24"/>
        </w:rPr>
        <w:t xml:space="preserve"> za 2025. godinu iznose </w:t>
      </w:r>
      <w:r w:rsidR="00D655D2" w:rsidRPr="00E615DA">
        <w:rPr>
          <w:rFonts w:ascii="Times New Roman" w:hAnsi="Times New Roman" w:cs="Times New Roman"/>
          <w:sz w:val="24"/>
          <w:szCs w:val="24"/>
        </w:rPr>
        <w:t>283.729.649</w:t>
      </w:r>
      <w:r w:rsidRPr="00E615DA">
        <w:rPr>
          <w:rFonts w:ascii="Times New Roman" w:hAnsi="Times New Roman" w:cs="Times New Roman"/>
          <w:sz w:val="24"/>
          <w:szCs w:val="24"/>
        </w:rPr>
        <w:t xml:space="preserve"> eura, te za 2026. godinu </w:t>
      </w:r>
      <w:r w:rsidR="00D655D2" w:rsidRPr="00E615DA">
        <w:rPr>
          <w:rFonts w:ascii="Times New Roman" w:hAnsi="Times New Roman" w:cs="Times New Roman"/>
          <w:sz w:val="24"/>
          <w:szCs w:val="24"/>
        </w:rPr>
        <w:t>302.23</w:t>
      </w:r>
      <w:r w:rsidR="00F70CF9">
        <w:rPr>
          <w:rFonts w:ascii="Times New Roman" w:hAnsi="Times New Roman" w:cs="Times New Roman"/>
          <w:sz w:val="24"/>
          <w:szCs w:val="24"/>
        </w:rPr>
        <w:t>1</w:t>
      </w:r>
      <w:r w:rsidR="00D655D2" w:rsidRPr="00E615DA">
        <w:rPr>
          <w:rFonts w:ascii="Times New Roman" w:hAnsi="Times New Roman" w:cs="Times New Roman"/>
          <w:sz w:val="24"/>
          <w:szCs w:val="24"/>
        </w:rPr>
        <w:t>.</w:t>
      </w:r>
      <w:r w:rsidR="00F70CF9">
        <w:rPr>
          <w:rFonts w:ascii="Times New Roman" w:hAnsi="Times New Roman" w:cs="Times New Roman"/>
          <w:sz w:val="24"/>
          <w:szCs w:val="24"/>
        </w:rPr>
        <w:t>122</w:t>
      </w:r>
      <w:r w:rsidRPr="00E615DA">
        <w:rPr>
          <w:rFonts w:ascii="Times New Roman" w:hAnsi="Times New Roman" w:cs="Times New Roman"/>
          <w:sz w:val="24"/>
          <w:szCs w:val="24"/>
        </w:rPr>
        <w:t xml:space="preserve"> eura</w:t>
      </w:r>
      <w:r w:rsidRPr="00D655D2">
        <w:rPr>
          <w:rFonts w:ascii="Times New Roman" w:hAnsi="Times New Roman" w:cs="Times New Roman"/>
          <w:sz w:val="24"/>
          <w:szCs w:val="24"/>
        </w:rPr>
        <w:t>.</w:t>
      </w:r>
    </w:p>
    <w:p w:rsidR="009E024C" w:rsidRDefault="009E024C" w:rsidP="009E024C">
      <w:pPr>
        <w:spacing w:before="120" w:after="0" w:line="240" w:lineRule="auto"/>
        <w:ind w:firstLine="708"/>
        <w:jc w:val="both"/>
        <w:rPr>
          <w:rFonts w:ascii="Times New Roman" w:hAnsi="Times New Roman" w:cs="Times New Roman"/>
          <w:sz w:val="24"/>
          <w:szCs w:val="24"/>
        </w:rPr>
      </w:pPr>
      <w:r w:rsidRPr="00241E61">
        <w:rPr>
          <w:rFonts w:ascii="Times New Roman" w:hAnsi="Times New Roman" w:cs="Times New Roman"/>
          <w:sz w:val="24"/>
          <w:szCs w:val="24"/>
        </w:rPr>
        <w:t>Najveći dio prihoda K</w:t>
      </w:r>
      <w:r>
        <w:rPr>
          <w:rFonts w:ascii="Times New Roman" w:hAnsi="Times New Roman" w:cs="Times New Roman"/>
          <w:sz w:val="24"/>
          <w:szCs w:val="24"/>
        </w:rPr>
        <w:t xml:space="preserve">linički bolnički centar </w:t>
      </w:r>
      <w:r w:rsidRPr="00241E61">
        <w:rPr>
          <w:rFonts w:ascii="Times New Roman" w:hAnsi="Times New Roman" w:cs="Times New Roman"/>
          <w:sz w:val="24"/>
          <w:szCs w:val="24"/>
        </w:rPr>
        <w:t xml:space="preserve">ostvaruje od nadležnog proračuna </w:t>
      </w:r>
      <w:r>
        <w:rPr>
          <w:rFonts w:ascii="Times New Roman" w:hAnsi="Times New Roman" w:cs="Times New Roman"/>
          <w:sz w:val="24"/>
          <w:szCs w:val="24"/>
        </w:rPr>
        <w:t>i od</w:t>
      </w:r>
      <w:r w:rsidRPr="00241E61">
        <w:rPr>
          <w:rFonts w:ascii="Times New Roman" w:hAnsi="Times New Roman" w:cs="Times New Roman"/>
          <w:sz w:val="24"/>
          <w:szCs w:val="24"/>
        </w:rPr>
        <w:t xml:space="preserve"> H</w:t>
      </w:r>
      <w:r>
        <w:rPr>
          <w:rFonts w:ascii="Times New Roman" w:hAnsi="Times New Roman" w:cs="Times New Roman"/>
          <w:sz w:val="24"/>
          <w:szCs w:val="24"/>
        </w:rPr>
        <w:t>rvatskog zavoda za zdravstveno osiguranje</w:t>
      </w:r>
      <w:r w:rsidRPr="00241E61">
        <w:rPr>
          <w:rFonts w:ascii="Times New Roman" w:hAnsi="Times New Roman" w:cs="Times New Roman"/>
          <w:sz w:val="24"/>
          <w:szCs w:val="24"/>
        </w:rPr>
        <w:t xml:space="preserve"> temeljem ugovor</w:t>
      </w:r>
      <w:r>
        <w:rPr>
          <w:rFonts w:ascii="Times New Roman" w:hAnsi="Times New Roman" w:cs="Times New Roman"/>
          <w:sz w:val="24"/>
          <w:szCs w:val="24"/>
        </w:rPr>
        <w:t>e</w:t>
      </w:r>
      <w:r w:rsidRPr="00241E61">
        <w:rPr>
          <w:rFonts w:ascii="Times New Roman" w:hAnsi="Times New Roman" w:cs="Times New Roman"/>
          <w:sz w:val="24"/>
          <w:szCs w:val="24"/>
        </w:rPr>
        <w:t xml:space="preserve">nih obveza </w:t>
      </w:r>
      <w:r w:rsidRPr="006B6789">
        <w:rPr>
          <w:rFonts w:ascii="Times New Roman" w:hAnsi="Times New Roman" w:cs="Times New Roman"/>
          <w:b/>
          <w:sz w:val="24"/>
          <w:szCs w:val="24"/>
        </w:rPr>
        <w:t>(s</w:t>
      </w:r>
      <w:r w:rsidRPr="00241E61">
        <w:rPr>
          <w:rFonts w:ascii="Times New Roman" w:hAnsi="Times New Roman" w:cs="Times New Roman"/>
          <w:b/>
          <w:sz w:val="24"/>
          <w:szCs w:val="24"/>
        </w:rPr>
        <w:t>kupina prihoda 6</w:t>
      </w:r>
      <w:r w:rsidRPr="006B6789">
        <w:rPr>
          <w:rFonts w:ascii="Times New Roman" w:hAnsi="Times New Roman" w:cs="Times New Roman"/>
          <w:b/>
          <w:sz w:val="24"/>
          <w:szCs w:val="24"/>
        </w:rPr>
        <w:t>7)</w:t>
      </w:r>
      <w:r w:rsidRPr="00241E61">
        <w:rPr>
          <w:rFonts w:ascii="Times New Roman" w:hAnsi="Times New Roman" w:cs="Times New Roman"/>
          <w:sz w:val="24"/>
          <w:szCs w:val="24"/>
        </w:rPr>
        <w:t xml:space="preserve">, pa tako planirani prihodi </w:t>
      </w:r>
      <w:r>
        <w:rPr>
          <w:rFonts w:ascii="Times New Roman" w:hAnsi="Times New Roman" w:cs="Times New Roman"/>
          <w:sz w:val="24"/>
          <w:szCs w:val="24"/>
        </w:rPr>
        <w:t xml:space="preserve">za 2024. godinu </w:t>
      </w:r>
      <w:r w:rsidRPr="00241E61">
        <w:rPr>
          <w:rFonts w:ascii="Times New Roman" w:hAnsi="Times New Roman" w:cs="Times New Roman"/>
          <w:sz w:val="24"/>
          <w:szCs w:val="24"/>
        </w:rPr>
        <w:t xml:space="preserve">iznose </w:t>
      </w:r>
      <w:r w:rsidR="00F70CF9">
        <w:rPr>
          <w:rFonts w:ascii="Times New Roman" w:hAnsi="Times New Roman" w:cs="Times New Roman"/>
          <w:sz w:val="24"/>
          <w:szCs w:val="24"/>
        </w:rPr>
        <w:t>264.838.390</w:t>
      </w:r>
      <w:r w:rsidRPr="00241E61">
        <w:rPr>
          <w:rFonts w:ascii="Times New Roman" w:hAnsi="Times New Roman" w:cs="Times New Roman"/>
          <w:sz w:val="24"/>
          <w:szCs w:val="24"/>
        </w:rPr>
        <w:t xml:space="preserve"> eur</w:t>
      </w:r>
      <w:r w:rsidR="00313BBD">
        <w:rPr>
          <w:rFonts w:ascii="Times New Roman" w:hAnsi="Times New Roman" w:cs="Times New Roman"/>
          <w:sz w:val="24"/>
          <w:szCs w:val="24"/>
        </w:rPr>
        <w:t>a</w:t>
      </w:r>
      <w:r w:rsidRPr="00241E61">
        <w:rPr>
          <w:rFonts w:ascii="Times New Roman" w:hAnsi="Times New Roman" w:cs="Times New Roman"/>
          <w:sz w:val="24"/>
          <w:szCs w:val="24"/>
        </w:rPr>
        <w:t xml:space="preserve">, </w:t>
      </w:r>
      <w:r>
        <w:rPr>
          <w:rFonts w:ascii="Times New Roman" w:hAnsi="Times New Roman" w:cs="Times New Roman"/>
          <w:sz w:val="24"/>
          <w:szCs w:val="24"/>
        </w:rPr>
        <w:t xml:space="preserve">za 2025. godinu iznose </w:t>
      </w:r>
      <w:r w:rsidR="00F70CF9">
        <w:rPr>
          <w:rFonts w:ascii="Times New Roman" w:hAnsi="Times New Roman" w:cs="Times New Roman"/>
          <w:sz w:val="24"/>
          <w:szCs w:val="24"/>
        </w:rPr>
        <w:t>267</w:t>
      </w:r>
      <w:r w:rsidR="00AE0A4F">
        <w:rPr>
          <w:rFonts w:ascii="Times New Roman" w:hAnsi="Times New Roman" w:cs="Times New Roman"/>
          <w:sz w:val="24"/>
          <w:szCs w:val="24"/>
        </w:rPr>
        <w:t>.</w:t>
      </w:r>
      <w:r w:rsidR="00F70CF9">
        <w:rPr>
          <w:rFonts w:ascii="Times New Roman" w:hAnsi="Times New Roman" w:cs="Times New Roman"/>
          <w:sz w:val="24"/>
          <w:szCs w:val="24"/>
        </w:rPr>
        <w:t>307.687</w:t>
      </w:r>
      <w:r>
        <w:rPr>
          <w:rFonts w:ascii="Times New Roman" w:hAnsi="Times New Roman" w:cs="Times New Roman"/>
          <w:sz w:val="24"/>
          <w:szCs w:val="24"/>
        </w:rPr>
        <w:t xml:space="preserve"> eura, te za 2026. godinu </w:t>
      </w:r>
      <w:r w:rsidR="00AE0A4F">
        <w:rPr>
          <w:rFonts w:ascii="Times New Roman" w:hAnsi="Times New Roman" w:cs="Times New Roman"/>
          <w:sz w:val="24"/>
          <w:szCs w:val="24"/>
        </w:rPr>
        <w:t>28</w:t>
      </w:r>
      <w:r w:rsidR="00F70CF9">
        <w:rPr>
          <w:rFonts w:ascii="Times New Roman" w:hAnsi="Times New Roman" w:cs="Times New Roman"/>
          <w:sz w:val="24"/>
          <w:szCs w:val="24"/>
        </w:rPr>
        <w:t>4</w:t>
      </w:r>
      <w:r w:rsidR="00AE0A4F">
        <w:rPr>
          <w:rFonts w:ascii="Times New Roman" w:hAnsi="Times New Roman" w:cs="Times New Roman"/>
          <w:sz w:val="24"/>
          <w:szCs w:val="24"/>
        </w:rPr>
        <w:t>.</w:t>
      </w:r>
      <w:r w:rsidR="00F70CF9">
        <w:rPr>
          <w:rFonts w:ascii="Times New Roman" w:hAnsi="Times New Roman" w:cs="Times New Roman"/>
          <w:sz w:val="24"/>
          <w:szCs w:val="24"/>
        </w:rPr>
        <w:t>591.176</w:t>
      </w:r>
      <w:r>
        <w:rPr>
          <w:rFonts w:ascii="Times New Roman" w:hAnsi="Times New Roman" w:cs="Times New Roman"/>
          <w:sz w:val="24"/>
          <w:szCs w:val="24"/>
        </w:rPr>
        <w:t xml:space="preserve"> eura.</w:t>
      </w:r>
    </w:p>
    <w:p w:rsidR="009E024C" w:rsidRDefault="009E024C" w:rsidP="00C05B9B">
      <w:pPr>
        <w:spacing w:before="120" w:after="0" w:line="240" w:lineRule="auto"/>
        <w:ind w:firstLine="708"/>
        <w:jc w:val="both"/>
        <w:rPr>
          <w:rFonts w:ascii="Times New Roman" w:hAnsi="Times New Roman" w:cs="Times New Roman"/>
          <w:sz w:val="24"/>
          <w:szCs w:val="24"/>
        </w:rPr>
      </w:pPr>
      <w:r w:rsidRPr="005C2351">
        <w:rPr>
          <w:rFonts w:ascii="Times New Roman" w:hAnsi="Times New Roman" w:cs="Times New Roman"/>
          <w:sz w:val="24"/>
          <w:szCs w:val="24"/>
        </w:rPr>
        <w:t xml:space="preserve">Na </w:t>
      </w:r>
      <w:r w:rsidRPr="00241E61">
        <w:rPr>
          <w:rFonts w:ascii="Times New Roman" w:hAnsi="Times New Roman" w:cs="Times New Roman"/>
          <w:i/>
          <w:sz w:val="24"/>
          <w:szCs w:val="24"/>
        </w:rPr>
        <w:t>izvoru financiranja 11</w:t>
      </w:r>
      <w:r w:rsidRPr="00241E61">
        <w:rPr>
          <w:rFonts w:ascii="Times New Roman" w:hAnsi="Times New Roman" w:cs="Times New Roman"/>
          <w:sz w:val="24"/>
          <w:szCs w:val="24"/>
        </w:rPr>
        <w:t xml:space="preserve"> </w:t>
      </w:r>
      <w:r w:rsidRPr="00241E61">
        <w:rPr>
          <w:rFonts w:ascii="Times New Roman" w:hAnsi="Times New Roman" w:cs="Times New Roman"/>
          <w:i/>
          <w:sz w:val="24"/>
          <w:szCs w:val="24"/>
        </w:rPr>
        <w:t>Opći prihodi i primici</w:t>
      </w:r>
      <w:r w:rsidRPr="00241E61">
        <w:rPr>
          <w:rFonts w:ascii="Times New Roman" w:hAnsi="Times New Roman" w:cs="Times New Roman"/>
          <w:sz w:val="24"/>
          <w:szCs w:val="24"/>
        </w:rPr>
        <w:t xml:space="preserve"> </w:t>
      </w:r>
      <w:r>
        <w:rPr>
          <w:rFonts w:ascii="Times New Roman" w:hAnsi="Times New Roman" w:cs="Times New Roman"/>
          <w:sz w:val="24"/>
          <w:szCs w:val="24"/>
        </w:rPr>
        <w:t>planiran je iznos od</w:t>
      </w:r>
      <w:r w:rsidRPr="00241E61">
        <w:rPr>
          <w:rFonts w:ascii="Times New Roman" w:hAnsi="Times New Roman" w:cs="Times New Roman"/>
          <w:sz w:val="24"/>
          <w:szCs w:val="24"/>
        </w:rPr>
        <w:t xml:space="preserve"> </w:t>
      </w:r>
      <w:r>
        <w:rPr>
          <w:rFonts w:ascii="Times New Roman" w:hAnsi="Times New Roman" w:cs="Times New Roman"/>
          <w:sz w:val="24"/>
          <w:szCs w:val="24"/>
        </w:rPr>
        <w:t>17.</w:t>
      </w:r>
      <w:r w:rsidR="00AE0A4F">
        <w:rPr>
          <w:rFonts w:ascii="Times New Roman" w:hAnsi="Times New Roman" w:cs="Times New Roman"/>
          <w:sz w:val="24"/>
          <w:szCs w:val="24"/>
        </w:rPr>
        <w:t>432.078</w:t>
      </w:r>
      <w:r w:rsidRPr="00241E61">
        <w:rPr>
          <w:rFonts w:ascii="Times New Roman" w:hAnsi="Times New Roman" w:cs="Times New Roman"/>
          <w:sz w:val="24"/>
          <w:szCs w:val="24"/>
        </w:rPr>
        <w:t xml:space="preserve"> eura za 202</w:t>
      </w:r>
      <w:r>
        <w:rPr>
          <w:rFonts w:ascii="Times New Roman" w:hAnsi="Times New Roman" w:cs="Times New Roman"/>
          <w:sz w:val="24"/>
          <w:szCs w:val="24"/>
        </w:rPr>
        <w:t>4</w:t>
      </w:r>
      <w:r w:rsidRPr="00241E61">
        <w:rPr>
          <w:rFonts w:ascii="Times New Roman" w:hAnsi="Times New Roman" w:cs="Times New Roman"/>
          <w:sz w:val="24"/>
          <w:szCs w:val="24"/>
        </w:rPr>
        <w:t>. godinu</w:t>
      </w:r>
      <w:r>
        <w:rPr>
          <w:rFonts w:ascii="Times New Roman" w:hAnsi="Times New Roman" w:cs="Times New Roman"/>
          <w:sz w:val="24"/>
          <w:szCs w:val="24"/>
        </w:rPr>
        <w:t>, a temeljem utvrđenog iznosa od 5.</w:t>
      </w:r>
      <w:r w:rsidR="00B50C7E">
        <w:rPr>
          <w:rFonts w:ascii="Times New Roman" w:hAnsi="Times New Roman" w:cs="Times New Roman"/>
          <w:sz w:val="24"/>
          <w:szCs w:val="24"/>
        </w:rPr>
        <w:t>285.760</w:t>
      </w:r>
      <w:r>
        <w:rPr>
          <w:rFonts w:ascii="Times New Roman" w:hAnsi="Times New Roman" w:cs="Times New Roman"/>
          <w:sz w:val="24"/>
          <w:szCs w:val="24"/>
        </w:rPr>
        <w:t xml:space="preserve"> eura za kapitalna ulaganja</w:t>
      </w:r>
      <w:r w:rsidR="00B50C7E">
        <w:rPr>
          <w:rFonts w:ascii="Times New Roman" w:hAnsi="Times New Roman" w:cs="Times New Roman"/>
          <w:sz w:val="24"/>
          <w:szCs w:val="24"/>
        </w:rPr>
        <w:t xml:space="preserve">, 12.000.000 eura dodatnih sredstava za sanaciju štete od potresa (nakon prestanka financiranja iz Fonda solidarnosti Europske unije) </w:t>
      </w:r>
      <w:r w:rsidR="00C05B9B">
        <w:rPr>
          <w:rFonts w:ascii="Times New Roman" w:hAnsi="Times New Roman" w:cs="Times New Roman"/>
          <w:sz w:val="24"/>
          <w:szCs w:val="24"/>
        </w:rPr>
        <w:t xml:space="preserve">i </w:t>
      </w:r>
      <w:r w:rsidR="00B50C7E">
        <w:rPr>
          <w:rFonts w:ascii="Times New Roman" w:hAnsi="Times New Roman" w:cs="Times New Roman"/>
          <w:sz w:val="24"/>
          <w:szCs w:val="24"/>
        </w:rPr>
        <w:t xml:space="preserve">146.318 eura </w:t>
      </w:r>
      <w:r w:rsidR="00C05B9B">
        <w:rPr>
          <w:rFonts w:ascii="Times New Roman" w:hAnsi="Times New Roman" w:cs="Times New Roman"/>
          <w:sz w:val="24"/>
          <w:szCs w:val="24"/>
        </w:rPr>
        <w:t>za provođenje preventivnih programa od kojih je Nacionalni akcijski plan za suzbijanje zloupotrebe droga u Republici Hrvatskoj dugogodišnji program, a krajem 2023. godine krenuli smo i s provođenjem Nacionalnog preventivnog programa za rano otkrivanje m</w:t>
      </w:r>
      <w:r w:rsidR="00B50C7E">
        <w:rPr>
          <w:rFonts w:ascii="Times New Roman" w:hAnsi="Times New Roman" w:cs="Times New Roman"/>
          <w:sz w:val="24"/>
          <w:szCs w:val="24"/>
        </w:rPr>
        <w:t>elanoma.</w:t>
      </w:r>
      <w:r w:rsidR="00C05B9B">
        <w:rPr>
          <w:rFonts w:ascii="Times New Roman" w:hAnsi="Times New Roman" w:cs="Times New Roman"/>
          <w:sz w:val="24"/>
          <w:szCs w:val="24"/>
        </w:rPr>
        <w:t xml:space="preserve"> </w:t>
      </w:r>
      <w:r w:rsidR="00B50C7E">
        <w:rPr>
          <w:rFonts w:ascii="Times New Roman" w:hAnsi="Times New Roman" w:cs="Times New Roman"/>
          <w:sz w:val="24"/>
          <w:szCs w:val="24"/>
        </w:rPr>
        <w:t>Z</w:t>
      </w:r>
      <w:r>
        <w:rPr>
          <w:rFonts w:ascii="Times New Roman" w:hAnsi="Times New Roman" w:cs="Times New Roman"/>
          <w:sz w:val="24"/>
          <w:szCs w:val="24"/>
        </w:rPr>
        <w:t>a 2025. godinu planiran je iznos od 5.</w:t>
      </w:r>
      <w:r w:rsidR="00AE0A4F">
        <w:rPr>
          <w:rFonts w:ascii="Times New Roman" w:hAnsi="Times New Roman" w:cs="Times New Roman"/>
          <w:sz w:val="24"/>
          <w:szCs w:val="24"/>
        </w:rPr>
        <w:t>402.078</w:t>
      </w:r>
      <w:r>
        <w:rPr>
          <w:rFonts w:ascii="Times New Roman" w:hAnsi="Times New Roman" w:cs="Times New Roman"/>
          <w:sz w:val="24"/>
          <w:szCs w:val="24"/>
        </w:rPr>
        <w:t xml:space="preserve"> eura za iste namjene izuzev dodatnih sredstava za sanaciju štete od potresa, te za 2026. godinu </w:t>
      </w:r>
      <w:r w:rsidR="00AE0A4F">
        <w:rPr>
          <w:rFonts w:ascii="Times New Roman" w:hAnsi="Times New Roman" w:cs="Times New Roman"/>
          <w:sz w:val="24"/>
          <w:szCs w:val="24"/>
        </w:rPr>
        <w:t>6.735.973</w:t>
      </w:r>
      <w:r>
        <w:rPr>
          <w:rFonts w:ascii="Times New Roman" w:hAnsi="Times New Roman" w:cs="Times New Roman"/>
          <w:sz w:val="24"/>
          <w:szCs w:val="24"/>
        </w:rPr>
        <w:t xml:space="preserve"> eura. </w:t>
      </w:r>
    </w:p>
    <w:p w:rsidR="009E024C" w:rsidRDefault="009E024C" w:rsidP="009E024C">
      <w:pPr>
        <w:spacing w:before="120" w:after="0" w:line="24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U 2023. godini završavaju ili su prekinuti projekti koji su se </w:t>
      </w:r>
      <w:r w:rsidRPr="00D520CD">
        <w:rPr>
          <w:rFonts w:ascii="Times New Roman" w:hAnsi="Times New Roman" w:cs="Times New Roman"/>
          <w:color w:val="000000" w:themeColor="text1"/>
          <w:sz w:val="24"/>
          <w:szCs w:val="24"/>
        </w:rPr>
        <w:t xml:space="preserve">djelomično financirali s </w:t>
      </w:r>
      <w:r w:rsidRPr="00D520CD">
        <w:rPr>
          <w:rFonts w:ascii="Times New Roman" w:hAnsi="Times New Roman" w:cs="Times New Roman"/>
          <w:i/>
          <w:color w:val="000000" w:themeColor="text1"/>
          <w:sz w:val="24"/>
          <w:szCs w:val="24"/>
        </w:rPr>
        <w:t>izvora financiranja 12 Sredstva učešća za pomoći</w:t>
      </w:r>
      <w:r w:rsidRPr="00D520CD">
        <w:rPr>
          <w:rFonts w:ascii="Times New Roman" w:hAnsi="Times New Roman" w:cs="Times New Roman"/>
          <w:color w:val="000000" w:themeColor="text1"/>
          <w:sz w:val="24"/>
          <w:szCs w:val="24"/>
        </w:rPr>
        <w:t xml:space="preserve"> </w:t>
      </w:r>
      <w:r w:rsidRPr="005C2351">
        <w:rPr>
          <w:rFonts w:ascii="Times New Roman" w:hAnsi="Times New Roman" w:cs="Times New Roman"/>
          <w:color w:val="000000" w:themeColor="text1"/>
          <w:sz w:val="24"/>
          <w:szCs w:val="24"/>
        </w:rPr>
        <w:t>(Strukturni i investicijski fondovi u okviru programskog razdoblja 2014.-2020. godine), a</w:t>
      </w:r>
      <w:r>
        <w:rPr>
          <w:rFonts w:ascii="Times New Roman" w:hAnsi="Times New Roman" w:cs="Times New Roman"/>
          <w:color w:val="000000" w:themeColor="text1"/>
          <w:sz w:val="24"/>
          <w:szCs w:val="24"/>
        </w:rPr>
        <w:t xml:space="preserve"> novi projekti nisu ugovoreni, stoga nema planiranih sredstava na ovom izvoru financiranja u razdoblju 2024.-2026. godine.</w:t>
      </w:r>
      <w:r w:rsidRPr="00DF3D19">
        <w:rPr>
          <w:rFonts w:ascii="Times New Roman" w:hAnsi="Times New Roman" w:cs="Times New Roman"/>
          <w:color w:val="FF0000"/>
          <w:sz w:val="24"/>
          <w:szCs w:val="24"/>
        </w:rPr>
        <w:t xml:space="preserve"> </w:t>
      </w:r>
    </w:p>
    <w:p w:rsidR="009E024C" w:rsidRDefault="009E024C" w:rsidP="009E024C">
      <w:pPr>
        <w:spacing w:before="120" w:after="0" w:line="240" w:lineRule="auto"/>
        <w:ind w:firstLine="708"/>
        <w:jc w:val="both"/>
        <w:rPr>
          <w:rFonts w:ascii="Times New Roman" w:hAnsi="Times New Roman" w:cs="Times New Roman"/>
          <w:sz w:val="24"/>
          <w:szCs w:val="24"/>
        </w:rPr>
      </w:pPr>
      <w:r w:rsidRPr="005C2351">
        <w:rPr>
          <w:rFonts w:ascii="Times New Roman" w:hAnsi="Times New Roman" w:cs="Times New Roman"/>
          <w:sz w:val="24"/>
          <w:szCs w:val="24"/>
        </w:rPr>
        <w:t>Na</w:t>
      </w:r>
      <w:r w:rsidRPr="004D69E4">
        <w:rPr>
          <w:rFonts w:ascii="Times New Roman" w:hAnsi="Times New Roman" w:cs="Times New Roman"/>
          <w:i/>
          <w:sz w:val="24"/>
          <w:szCs w:val="24"/>
        </w:rPr>
        <w:t xml:space="preserve"> izvoru financiranja 43 Ostali prihodi za posebne namjene</w:t>
      </w:r>
      <w:r w:rsidRPr="004D69E4">
        <w:rPr>
          <w:rFonts w:ascii="Times New Roman" w:hAnsi="Times New Roman" w:cs="Times New Roman"/>
          <w:sz w:val="24"/>
          <w:szCs w:val="24"/>
        </w:rPr>
        <w:t xml:space="preserve"> </w:t>
      </w:r>
      <w:r>
        <w:rPr>
          <w:rFonts w:ascii="Times New Roman" w:hAnsi="Times New Roman" w:cs="Times New Roman"/>
          <w:sz w:val="24"/>
          <w:szCs w:val="24"/>
        </w:rPr>
        <w:t>planira</w:t>
      </w:r>
      <w:r w:rsidRPr="004D69E4">
        <w:rPr>
          <w:rFonts w:ascii="Times New Roman" w:hAnsi="Times New Roman" w:cs="Times New Roman"/>
          <w:sz w:val="24"/>
          <w:szCs w:val="24"/>
        </w:rPr>
        <w:t xml:space="preserve">ni iznos </w:t>
      </w:r>
      <w:r>
        <w:rPr>
          <w:rFonts w:ascii="Times New Roman" w:hAnsi="Times New Roman" w:cs="Times New Roman"/>
          <w:sz w:val="24"/>
          <w:szCs w:val="24"/>
        </w:rPr>
        <w:t xml:space="preserve">od </w:t>
      </w:r>
      <w:r w:rsidR="00F01C78">
        <w:rPr>
          <w:rFonts w:ascii="Times New Roman" w:hAnsi="Times New Roman" w:cs="Times New Roman"/>
          <w:sz w:val="24"/>
          <w:szCs w:val="24"/>
        </w:rPr>
        <w:t>236.529.893</w:t>
      </w:r>
      <w:r>
        <w:rPr>
          <w:rFonts w:ascii="Times New Roman" w:hAnsi="Times New Roman" w:cs="Times New Roman"/>
          <w:sz w:val="24"/>
          <w:szCs w:val="24"/>
        </w:rPr>
        <w:t xml:space="preserve"> eura </w:t>
      </w:r>
      <w:r w:rsidRPr="004D69E4">
        <w:rPr>
          <w:rFonts w:ascii="Times New Roman" w:hAnsi="Times New Roman" w:cs="Times New Roman"/>
          <w:sz w:val="24"/>
          <w:szCs w:val="24"/>
        </w:rPr>
        <w:t>odnosi se na prihode od HZZO-a za ugovorenu zdravstvenu zaštitu</w:t>
      </w:r>
      <w:r>
        <w:rPr>
          <w:rFonts w:ascii="Times New Roman" w:hAnsi="Times New Roman" w:cs="Times New Roman"/>
          <w:sz w:val="24"/>
          <w:szCs w:val="24"/>
        </w:rPr>
        <w:t xml:space="preserve"> u 2024. godini, dok je za 2025. godinu planirano </w:t>
      </w:r>
      <w:r w:rsidR="00F01C78">
        <w:rPr>
          <w:rFonts w:ascii="Times New Roman" w:hAnsi="Times New Roman" w:cs="Times New Roman"/>
          <w:sz w:val="24"/>
          <w:szCs w:val="24"/>
        </w:rPr>
        <w:t>255.110.652</w:t>
      </w:r>
      <w:r>
        <w:rPr>
          <w:rFonts w:ascii="Times New Roman" w:hAnsi="Times New Roman" w:cs="Times New Roman"/>
          <w:sz w:val="24"/>
          <w:szCs w:val="24"/>
        </w:rPr>
        <w:t xml:space="preserve"> eura</w:t>
      </w:r>
      <w:r w:rsidR="00B50C7E">
        <w:rPr>
          <w:rFonts w:ascii="Times New Roman" w:hAnsi="Times New Roman" w:cs="Times New Roman"/>
          <w:sz w:val="24"/>
          <w:szCs w:val="24"/>
        </w:rPr>
        <w:t>,</w:t>
      </w:r>
      <w:r>
        <w:rPr>
          <w:rFonts w:ascii="Times New Roman" w:hAnsi="Times New Roman" w:cs="Times New Roman"/>
          <w:sz w:val="24"/>
          <w:szCs w:val="24"/>
        </w:rPr>
        <w:t xml:space="preserve"> a za 2026. godinu </w:t>
      </w:r>
      <w:r w:rsidR="00F01C78">
        <w:rPr>
          <w:rFonts w:ascii="Times New Roman" w:hAnsi="Times New Roman" w:cs="Times New Roman"/>
          <w:sz w:val="24"/>
          <w:szCs w:val="24"/>
        </w:rPr>
        <w:t>275.440.638</w:t>
      </w:r>
      <w:r>
        <w:rPr>
          <w:rFonts w:ascii="Times New Roman" w:hAnsi="Times New Roman" w:cs="Times New Roman"/>
          <w:sz w:val="24"/>
          <w:szCs w:val="24"/>
        </w:rPr>
        <w:t xml:space="preserve"> eura.</w:t>
      </w:r>
    </w:p>
    <w:p w:rsidR="00C07CBE" w:rsidRDefault="00C07CBE" w:rsidP="00C07CBE">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Sredstva planirana na </w:t>
      </w:r>
      <w:r w:rsidRPr="00183C44">
        <w:rPr>
          <w:rFonts w:ascii="Times New Roman" w:hAnsi="Times New Roman" w:cs="Times New Roman"/>
          <w:i/>
          <w:sz w:val="24"/>
          <w:szCs w:val="24"/>
        </w:rPr>
        <w:t>izvoru financiranja 815</w:t>
      </w:r>
      <w:r w:rsidR="00990A3E">
        <w:rPr>
          <w:rFonts w:ascii="Times New Roman" w:hAnsi="Times New Roman" w:cs="Times New Roman"/>
          <w:i/>
          <w:sz w:val="24"/>
          <w:szCs w:val="24"/>
        </w:rPr>
        <w:t xml:space="preserve"> </w:t>
      </w:r>
      <w:r w:rsidRPr="00183C44">
        <w:rPr>
          <w:rFonts w:ascii="Times New Roman" w:hAnsi="Times New Roman" w:cs="Times New Roman"/>
          <w:i/>
          <w:sz w:val="24"/>
          <w:szCs w:val="24"/>
        </w:rPr>
        <w:t>Namjenski primitak – NPOO</w:t>
      </w:r>
      <w:r>
        <w:rPr>
          <w:rFonts w:ascii="Times New Roman" w:hAnsi="Times New Roman" w:cs="Times New Roman"/>
          <w:sz w:val="24"/>
          <w:szCs w:val="24"/>
        </w:rPr>
        <w:t xml:space="preserve">  namijenjena su za obnovu 10 zgrada oštećenih u potresu na sve tri lokacije (financirano kroz izvor financiranja 581 Mehanizam za oporavak i otpornost u prethodnim proračunskim razdobljima). Za 2024. godinu utvrđen je iznos od 10.876.419 eura i najvećim se dijelom odnosi na građevinske radove. </w:t>
      </w:r>
      <w:r w:rsidRPr="009E024C">
        <w:rPr>
          <w:rFonts w:ascii="Times New Roman" w:eastAsia="Times New Roman" w:hAnsi="Times New Roman" w:cs="Times New Roman"/>
          <w:sz w:val="24"/>
          <w:szCs w:val="24"/>
          <w:lang w:eastAsia="hr-HR"/>
        </w:rPr>
        <w:t xml:space="preserve">Za 2025. godinu </w:t>
      </w:r>
      <w:r>
        <w:rPr>
          <w:rFonts w:ascii="Times New Roman" w:eastAsia="Times New Roman" w:hAnsi="Times New Roman" w:cs="Times New Roman"/>
          <w:sz w:val="24"/>
          <w:szCs w:val="24"/>
          <w:lang w:eastAsia="hr-HR"/>
        </w:rPr>
        <w:t>utvrđen</w:t>
      </w:r>
      <w:r w:rsidRPr="009E024C">
        <w:rPr>
          <w:rFonts w:ascii="Times New Roman" w:eastAsia="Times New Roman" w:hAnsi="Times New Roman" w:cs="Times New Roman"/>
          <w:sz w:val="24"/>
          <w:szCs w:val="24"/>
          <w:lang w:eastAsia="hr-HR"/>
        </w:rPr>
        <w:t xml:space="preserve"> je iznos od </w:t>
      </w:r>
      <w:r>
        <w:rPr>
          <w:rFonts w:ascii="Times New Roman" w:eastAsia="Times New Roman" w:hAnsi="Times New Roman" w:cs="Times New Roman"/>
          <w:sz w:val="24"/>
          <w:szCs w:val="24"/>
          <w:lang w:eastAsia="hr-HR"/>
        </w:rPr>
        <w:t>6.794.957</w:t>
      </w:r>
      <w:r w:rsidRPr="009E024C">
        <w:rPr>
          <w:rFonts w:ascii="Times New Roman" w:eastAsia="Times New Roman" w:hAnsi="Times New Roman" w:cs="Times New Roman"/>
          <w:sz w:val="24"/>
          <w:szCs w:val="24"/>
          <w:lang w:eastAsia="hr-HR"/>
        </w:rPr>
        <w:t xml:space="preserve"> eura</w:t>
      </w:r>
      <w:r>
        <w:rPr>
          <w:rFonts w:ascii="Times New Roman" w:eastAsia="Times New Roman" w:hAnsi="Times New Roman" w:cs="Times New Roman"/>
          <w:sz w:val="24"/>
          <w:szCs w:val="24"/>
          <w:lang w:eastAsia="hr-HR"/>
        </w:rPr>
        <w:t>, te za 2026. godinu 2.414.565 eura</w:t>
      </w:r>
      <w:r w:rsidRPr="009E024C">
        <w:rPr>
          <w:rFonts w:ascii="Times New Roman" w:eastAsia="Times New Roman" w:hAnsi="Times New Roman" w:cs="Times New Roman"/>
          <w:sz w:val="24"/>
          <w:szCs w:val="24"/>
          <w:lang w:eastAsia="hr-HR"/>
        </w:rPr>
        <w:t xml:space="preserve"> koji će se također najvećim dijelom utrošiti na dodatna ulaganja na građevinskim objektima</w:t>
      </w:r>
      <w:r>
        <w:rPr>
          <w:rFonts w:ascii="Times New Roman" w:eastAsia="Times New Roman" w:hAnsi="Times New Roman" w:cs="Times New Roman"/>
          <w:sz w:val="24"/>
          <w:szCs w:val="24"/>
          <w:lang w:eastAsia="hr-HR"/>
        </w:rPr>
        <w:t>.</w:t>
      </w:r>
    </w:p>
    <w:p w:rsidR="0028338E" w:rsidRPr="00241E61" w:rsidRDefault="0028338E" w:rsidP="00C07CBE">
      <w:pPr>
        <w:spacing w:before="120" w:after="0" w:line="240" w:lineRule="auto"/>
        <w:ind w:firstLine="708"/>
        <w:jc w:val="both"/>
        <w:rPr>
          <w:rFonts w:ascii="Times New Roman" w:hAnsi="Times New Roman" w:cs="Times New Roman"/>
          <w:sz w:val="24"/>
          <w:szCs w:val="24"/>
        </w:rPr>
      </w:pPr>
      <w:r w:rsidRPr="00241E61">
        <w:rPr>
          <w:rFonts w:ascii="Times New Roman" w:hAnsi="Times New Roman" w:cs="Times New Roman"/>
          <w:sz w:val="24"/>
          <w:szCs w:val="24"/>
        </w:rPr>
        <w:t xml:space="preserve">Na </w:t>
      </w:r>
      <w:r w:rsidRPr="00241E61">
        <w:rPr>
          <w:rFonts w:ascii="Times New Roman" w:hAnsi="Times New Roman" w:cs="Times New Roman"/>
          <w:b/>
          <w:sz w:val="24"/>
          <w:szCs w:val="24"/>
        </w:rPr>
        <w:t>skupini prihoda 65</w:t>
      </w:r>
      <w:r w:rsidRPr="00241E61">
        <w:rPr>
          <w:rFonts w:ascii="Times New Roman" w:hAnsi="Times New Roman" w:cs="Times New Roman"/>
          <w:sz w:val="24"/>
          <w:szCs w:val="24"/>
        </w:rPr>
        <w:t xml:space="preserve"> Prihodi od upravnih i administrativnih pristojbi, pristojbi po posebnim propisima i naknada </w:t>
      </w:r>
      <w:r w:rsidRPr="00241E61">
        <w:rPr>
          <w:rFonts w:ascii="Times New Roman" w:hAnsi="Times New Roman" w:cs="Times New Roman"/>
          <w:i/>
          <w:sz w:val="24"/>
          <w:szCs w:val="24"/>
        </w:rPr>
        <w:t>na izvoru financiranja 43</w:t>
      </w:r>
      <w:r w:rsidRPr="00241E61">
        <w:rPr>
          <w:rFonts w:ascii="Times New Roman" w:hAnsi="Times New Roman" w:cs="Times New Roman"/>
          <w:sz w:val="24"/>
          <w:szCs w:val="24"/>
        </w:rPr>
        <w:t xml:space="preserve"> planiran je prihod od participacije, dopunskog osiguranja osiguranika HZZO-a i dopunskog osiguranja osiguranika drugih osiguravajućih kuća, naplaćenih šteta i sl. u iznosu od </w:t>
      </w:r>
      <w:r>
        <w:rPr>
          <w:rFonts w:ascii="Times New Roman" w:hAnsi="Times New Roman" w:cs="Times New Roman"/>
          <w:sz w:val="24"/>
          <w:szCs w:val="24"/>
        </w:rPr>
        <w:t>12.851.461</w:t>
      </w:r>
      <w:r w:rsidRPr="00241E61">
        <w:rPr>
          <w:rFonts w:ascii="Times New Roman" w:hAnsi="Times New Roman" w:cs="Times New Roman"/>
          <w:sz w:val="24"/>
          <w:szCs w:val="24"/>
        </w:rPr>
        <w:t xml:space="preserve"> eur</w:t>
      </w:r>
      <w:r>
        <w:rPr>
          <w:rFonts w:ascii="Times New Roman" w:hAnsi="Times New Roman" w:cs="Times New Roman"/>
          <w:sz w:val="24"/>
          <w:szCs w:val="24"/>
        </w:rPr>
        <w:t>o</w:t>
      </w:r>
      <w:r w:rsidRPr="00241E61">
        <w:rPr>
          <w:rFonts w:ascii="Times New Roman" w:hAnsi="Times New Roman" w:cs="Times New Roman"/>
          <w:sz w:val="24"/>
          <w:szCs w:val="24"/>
        </w:rPr>
        <w:t xml:space="preserve"> </w:t>
      </w:r>
      <w:r>
        <w:rPr>
          <w:rFonts w:ascii="Times New Roman" w:hAnsi="Times New Roman" w:cs="Times New Roman"/>
          <w:sz w:val="24"/>
          <w:szCs w:val="24"/>
        </w:rPr>
        <w:t>prema</w:t>
      </w:r>
      <w:r w:rsidRPr="00241E61">
        <w:rPr>
          <w:rFonts w:ascii="Times New Roman" w:hAnsi="Times New Roman" w:cs="Times New Roman"/>
          <w:sz w:val="24"/>
          <w:szCs w:val="24"/>
        </w:rPr>
        <w:t xml:space="preserve"> izvršenj</w:t>
      </w:r>
      <w:r>
        <w:rPr>
          <w:rFonts w:ascii="Times New Roman" w:hAnsi="Times New Roman" w:cs="Times New Roman"/>
          <w:sz w:val="24"/>
          <w:szCs w:val="24"/>
        </w:rPr>
        <w:t>u</w:t>
      </w:r>
      <w:r w:rsidRPr="00241E61">
        <w:rPr>
          <w:rFonts w:ascii="Times New Roman" w:hAnsi="Times New Roman" w:cs="Times New Roman"/>
          <w:sz w:val="24"/>
          <w:szCs w:val="24"/>
        </w:rPr>
        <w:t xml:space="preserve"> u tekućem razdoblju svedeno na </w:t>
      </w:r>
      <w:r>
        <w:rPr>
          <w:rFonts w:ascii="Times New Roman" w:hAnsi="Times New Roman" w:cs="Times New Roman"/>
          <w:sz w:val="24"/>
          <w:szCs w:val="24"/>
        </w:rPr>
        <w:t>jednogodišnje razdoblje. Za 2025</w:t>
      </w:r>
      <w:r w:rsidRPr="00241E61">
        <w:rPr>
          <w:rFonts w:ascii="Times New Roman" w:hAnsi="Times New Roman" w:cs="Times New Roman"/>
          <w:sz w:val="24"/>
          <w:szCs w:val="24"/>
        </w:rPr>
        <w:t xml:space="preserve">. godinu planiran je iznos od </w:t>
      </w:r>
      <w:r>
        <w:rPr>
          <w:rFonts w:ascii="Times New Roman" w:hAnsi="Times New Roman" w:cs="Times New Roman"/>
          <w:sz w:val="24"/>
          <w:szCs w:val="24"/>
        </w:rPr>
        <w:t>13.937.881 euro</w:t>
      </w:r>
      <w:r w:rsidRPr="00241E61">
        <w:rPr>
          <w:rFonts w:ascii="Times New Roman" w:hAnsi="Times New Roman" w:cs="Times New Roman"/>
          <w:sz w:val="24"/>
          <w:szCs w:val="24"/>
        </w:rPr>
        <w:t>, a za 202</w:t>
      </w:r>
      <w:r>
        <w:rPr>
          <w:rFonts w:ascii="Times New Roman" w:hAnsi="Times New Roman" w:cs="Times New Roman"/>
          <w:sz w:val="24"/>
          <w:szCs w:val="24"/>
        </w:rPr>
        <w:t>6</w:t>
      </w:r>
      <w:r w:rsidRPr="00241E61">
        <w:rPr>
          <w:rFonts w:ascii="Times New Roman" w:hAnsi="Times New Roman" w:cs="Times New Roman"/>
          <w:sz w:val="24"/>
          <w:szCs w:val="24"/>
        </w:rPr>
        <w:t xml:space="preserve">. godinu </w:t>
      </w:r>
      <w:r>
        <w:rPr>
          <w:rFonts w:ascii="Times New Roman" w:hAnsi="Times New Roman" w:cs="Times New Roman"/>
          <w:sz w:val="24"/>
          <w:szCs w:val="24"/>
        </w:rPr>
        <w:t>15.128.108</w:t>
      </w:r>
      <w:r w:rsidRPr="00241E61">
        <w:rPr>
          <w:rFonts w:ascii="Times New Roman" w:hAnsi="Times New Roman" w:cs="Times New Roman"/>
          <w:sz w:val="24"/>
          <w:szCs w:val="24"/>
        </w:rPr>
        <w:t xml:space="preserve"> eura.</w:t>
      </w:r>
    </w:p>
    <w:p w:rsidR="00C66DA7" w:rsidRDefault="009E024C" w:rsidP="00F01C78">
      <w:pPr>
        <w:spacing w:before="120" w:after="0" w:line="240" w:lineRule="auto"/>
        <w:ind w:firstLine="709"/>
        <w:jc w:val="both"/>
        <w:rPr>
          <w:rFonts w:ascii="Times New Roman" w:hAnsi="Times New Roman" w:cs="Times New Roman"/>
          <w:sz w:val="24"/>
          <w:szCs w:val="24"/>
        </w:rPr>
      </w:pPr>
      <w:r w:rsidRPr="00241E61">
        <w:rPr>
          <w:rFonts w:ascii="Times New Roman" w:hAnsi="Times New Roman" w:cs="Times New Roman"/>
          <w:sz w:val="24"/>
          <w:szCs w:val="24"/>
        </w:rPr>
        <w:t>Planirani prihodi iz inozemstva i od subjekata unutar općeg proračuna (</w:t>
      </w:r>
      <w:r w:rsidRPr="00241E61">
        <w:rPr>
          <w:rFonts w:ascii="Times New Roman" w:hAnsi="Times New Roman" w:cs="Times New Roman"/>
          <w:b/>
          <w:sz w:val="24"/>
          <w:szCs w:val="24"/>
        </w:rPr>
        <w:t>skupina prihoda 63</w:t>
      </w:r>
      <w:r w:rsidRPr="00241E61">
        <w:rPr>
          <w:rFonts w:ascii="Times New Roman" w:hAnsi="Times New Roman" w:cs="Times New Roman"/>
          <w:sz w:val="24"/>
          <w:szCs w:val="24"/>
        </w:rPr>
        <w:t xml:space="preserve">) iznose </w:t>
      </w:r>
      <w:r w:rsidR="00652972">
        <w:rPr>
          <w:rFonts w:ascii="Times New Roman" w:hAnsi="Times New Roman" w:cs="Times New Roman"/>
          <w:sz w:val="24"/>
          <w:szCs w:val="24"/>
        </w:rPr>
        <w:t>4.487.446</w:t>
      </w:r>
      <w:r>
        <w:rPr>
          <w:rFonts w:ascii="Times New Roman" w:hAnsi="Times New Roman" w:cs="Times New Roman"/>
          <w:sz w:val="24"/>
          <w:szCs w:val="24"/>
        </w:rPr>
        <w:t xml:space="preserve"> </w:t>
      </w:r>
      <w:r w:rsidRPr="00241E61">
        <w:rPr>
          <w:rFonts w:ascii="Times New Roman" w:hAnsi="Times New Roman" w:cs="Times New Roman"/>
          <w:sz w:val="24"/>
          <w:szCs w:val="24"/>
        </w:rPr>
        <w:t xml:space="preserve">eura </w:t>
      </w:r>
      <w:r>
        <w:rPr>
          <w:rFonts w:ascii="Times New Roman" w:hAnsi="Times New Roman" w:cs="Times New Roman"/>
          <w:sz w:val="24"/>
          <w:szCs w:val="24"/>
        </w:rPr>
        <w:t>za 2024. godinu</w:t>
      </w:r>
      <w:r w:rsidR="00134F54">
        <w:rPr>
          <w:rFonts w:ascii="Times New Roman" w:hAnsi="Times New Roman" w:cs="Times New Roman"/>
          <w:sz w:val="24"/>
          <w:szCs w:val="24"/>
        </w:rPr>
        <w:t>, a odnose</w:t>
      </w:r>
      <w:r w:rsidR="00F01C78">
        <w:rPr>
          <w:rFonts w:ascii="Times New Roman" w:hAnsi="Times New Roman" w:cs="Times New Roman"/>
          <w:sz w:val="24"/>
          <w:szCs w:val="24"/>
        </w:rPr>
        <w:t xml:space="preserve"> se</w:t>
      </w:r>
      <w:r w:rsidR="00134F54">
        <w:rPr>
          <w:rFonts w:ascii="Times New Roman" w:hAnsi="Times New Roman" w:cs="Times New Roman"/>
          <w:sz w:val="24"/>
          <w:szCs w:val="24"/>
        </w:rPr>
        <w:t xml:space="preserve"> na </w:t>
      </w:r>
      <w:r w:rsidR="00134F54" w:rsidRPr="00134F54">
        <w:rPr>
          <w:rFonts w:ascii="Times New Roman" w:hAnsi="Times New Roman" w:cs="Times New Roman"/>
          <w:i/>
          <w:sz w:val="24"/>
          <w:szCs w:val="24"/>
        </w:rPr>
        <w:t>izvor financiranja 52 Ostale pomoći.</w:t>
      </w:r>
      <w:r w:rsidR="00134F54">
        <w:rPr>
          <w:rFonts w:ascii="Times New Roman" w:hAnsi="Times New Roman" w:cs="Times New Roman"/>
          <w:sz w:val="24"/>
          <w:szCs w:val="24"/>
        </w:rPr>
        <w:t xml:space="preserve"> Najveći dio planiranih sredstava (3.716.239 eura) odnosi se na provođenje </w:t>
      </w:r>
      <w:r w:rsidR="00134F54" w:rsidRPr="00EE229C">
        <w:rPr>
          <w:rFonts w:ascii="Times New Roman" w:eastAsia="Times New Roman" w:hAnsi="Times New Roman" w:cs="Times New Roman"/>
          <w:color w:val="000000"/>
          <w:sz w:val="24"/>
          <w:szCs w:val="24"/>
          <w:lang w:eastAsia="hr-HR"/>
        </w:rPr>
        <w:t>Sporazuma o zajedničkoj provedbi određenih postupaka nabave (projekt M</w:t>
      </w:r>
      <w:r w:rsidR="00134F54">
        <w:rPr>
          <w:rFonts w:ascii="Times New Roman" w:eastAsia="Times New Roman" w:hAnsi="Times New Roman" w:cs="Times New Roman"/>
          <w:color w:val="000000"/>
          <w:sz w:val="24"/>
          <w:szCs w:val="24"/>
          <w:lang w:eastAsia="hr-HR"/>
        </w:rPr>
        <w:t>inistarstva zdravstva</w:t>
      </w:r>
      <w:r w:rsidR="00134F54" w:rsidRPr="00EE229C">
        <w:rPr>
          <w:rFonts w:ascii="Calibri" w:eastAsia="Times New Roman" w:hAnsi="Calibri" w:cs="Calibri"/>
          <w:color w:val="000000"/>
          <w:lang w:eastAsia="hr-HR"/>
        </w:rPr>
        <w:t>)</w:t>
      </w:r>
      <w:r w:rsidR="00F01C78">
        <w:rPr>
          <w:rFonts w:ascii="Calibri" w:eastAsia="Times New Roman" w:hAnsi="Calibri" w:cs="Calibri"/>
          <w:color w:val="000000"/>
          <w:lang w:eastAsia="hr-HR"/>
        </w:rPr>
        <w:t xml:space="preserve"> </w:t>
      </w:r>
      <w:r w:rsidR="00134F54">
        <w:rPr>
          <w:rFonts w:ascii="Calibri" w:eastAsia="Times New Roman" w:hAnsi="Calibri" w:cs="Calibri"/>
          <w:color w:val="000000"/>
          <w:lang w:eastAsia="hr-HR"/>
        </w:rPr>
        <w:t xml:space="preserve">za </w:t>
      </w:r>
      <w:r w:rsidR="00134F54">
        <w:rPr>
          <w:rFonts w:ascii="Times New Roman" w:hAnsi="Times New Roman" w:cs="Times New Roman"/>
          <w:sz w:val="24"/>
          <w:szCs w:val="24"/>
        </w:rPr>
        <w:t>i</w:t>
      </w:r>
      <w:r w:rsidR="00134F54" w:rsidRPr="00EE229C">
        <w:rPr>
          <w:rFonts w:ascii="Times New Roman" w:eastAsia="Times New Roman" w:hAnsi="Times New Roman" w:cs="Times New Roman"/>
          <w:color w:val="000000"/>
          <w:sz w:val="24"/>
          <w:szCs w:val="24"/>
          <w:lang w:eastAsia="hr-HR"/>
        </w:rPr>
        <w:t>zgradnj</w:t>
      </w:r>
      <w:r w:rsidR="00134F54">
        <w:rPr>
          <w:rFonts w:ascii="Times New Roman" w:eastAsia="Times New Roman" w:hAnsi="Times New Roman" w:cs="Times New Roman"/>
          <w:color w:val="000000"/>
          <w:sz w:val="24"/>
          <w:szCs w:val="24"/>
          <w:lang w:eastAsia="hr-HR"/>
        </w:rPr>
        <w:t>u</w:t>
      </w:r>
      <w:r w:rsidR="00134F54" w:rsidRPr="00EE229C">
        <w:rPr>
          <w:rFonts w:ascii="Times New Roman" w:eastAsia="Times New Roman" w:hAnsi="Times New Roman" w:cs="Times New Roman"/>
          <w:color w:val="000000"/>
          <w:sz w:val="24"/>
          <w:szCs w:val="24"/>
          <w:lang w:eastAsia="hr-HR"/>
        </w:rPr>
        <w:t xml:space="preserve"> bunkera za linearn</w:t>
      </w:r>
      <w:r w:rsidR="00C66DA7">
        <w:rPr>
          <w:rFonts w:ascii="Times New Roman" w:eastAsia="Times New Roman" w:hAnsi="Times New Roman" w:cs="Times New Roman"/>
          <w:color w:val="000000"/>
          <w:sz w:val="24"/>
          <w:szCs w:val="24"/>
          <w:lang w:eastAsia="hr-HR"/>
        </w:rPr>
        <w:t>e</w:t>
      </w:r>
      <w:r w:rsidR="00134F54" w:rsidRPr="00EE229C">
        <w:rPr>
          <w:rFonts w:ascii="Times New Roman" w:eastAsia="Times New Roman" w:hAnsi="Times New Roman" w:cs="Times New Roman"/>
          <w:color w:val="000000"/>
          <w:sz w:val="24"/>
          <w:szCs w:val="24"/>
          <w:lang w:eastAsia="hr-HR"/>
        </w:rPr>
        <w:t xml:space="preserve"> akcelerator</w:t>
      </w:r>
      <w:r w:rsidR="00C66DA7">
        <w:rPr>
          <w:rFonts w:ascii="Times New Roman" w:eastAsia="Times New Roman" w:hAnsi="Times New Roman" w:cs="Times New Roman"/>
          <w:color w:val="000000"/>
          <w:sz w:val="24"/>
          <w:szCs w:val="24"/>
          <w:lang w:eastAsia="hr-HR"/>
        </w:rPr>
        <w:t>e</w:t>
      </w:r>
      <w:r w:rsidR="00134F54">
        <w:rPr>
          <w:rFonts w:ascii="Times New Roman" w:eastAsia="Times New Roman" w:hAnsi="Times New Roman" w:cs="Times New Roman"/>
          <w:color w:val="000000"/>
          <w:sz w:val="24"/>
          <w:szCs w:val="24"/>
          <w:lang w:eastAsia="hr-HR"/>
        </w:rPr>
        <w:t xml:space="preserve"> dok se preostali dio planiranih sredstava o</w:t>
      </w:r>
      <w:r w:rsidR="00134F54" w:rsidRPr="00241E61">
        <w:rPr>
          <w:rFonts w:ascii="Times New Roman" w:hAnsi="Times New Roman" w:cs="Times New Roman"/>
          <w:sz w:val="24"/>
          <w:szCs w:val="24"/>
        </w:rPr>
        <w:t>dnosi na refundacije Hrvatskog zavoda za zapošljavanje</w:t>
      </w:r>
      <w:r w:rsidR="00134F54">
        <w:rPr>
          <w:rFonts w:ascii="Times New Roman" w:hAnsi="Times New Roman" w:cs="Times New Roman"/>
          <w:sz w:val="24"/>
          <w:szCs w:val="24"/>
        </w:rPr>
        <w:t xml:space="preserve"> </w:t>
      </w:r>
      <w:r w:rsidR="00134F54" w:rsidRPr="00241E61">
        <w:rPr>
          <w:rFonts w:ascii="Times New Roman" w:hAnsi="Times New Roman" w:cs="Times New Roman"/>
          <w:sz w:val="24"/>
          <w:szCs w:val="24"/>
        </w:rPr>
        <w:t>za plaće pripravnika</w:t>
      </w:r>
      <w:r w:rsidR="00134F54">
        <w:rPr>
          <w:rFonts w:ascii="Times New Roman" w:hAnsi="Times New Roman" w:cs="Times New Roman"/>
          <w:sz w:val="24"/>
          <w:szCs w:val="24"/>
        </w:rPr>
        <w:t xml:space="preserve">. </w:t>
      </w:r>
      <w:r w:rsidR="00C66DA7">
        <w:rPr>
          <w:rFonts w:ascii="Times New Roman" w:hAnsi="Times New Roman" w:cs="Times New Roman"/>
          <w:sz w:val="24"/>
          <w:szCs w:val="24"/>
        </w:rPr>
        <w:t>Za 2025. godinu planiran je iznos od 673.418 eura, a za 2026. godinu 602.542 eura.</w:t>
      </w:r>
    </w:p>
    <w:p w:rsidR="009E024C" w:rsidRDefault="009E024C" w:rsidP="00C66DA7">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U odnosu na prethodno razdoblje, u plan nisu uključeni </w:t>
      </w:r>
      <w:r w:rsidRPr="0054573B">
        <w:rPr>
          <w:rFonts w:ascii="Times New Roman" w:hAnsi="Times New Roman" w:cs="Times New Roman"/>
          <w:i/>
          <w:sz w:val="24"/>
          <w:szCs w:val="24"/>
        </w:rPr>
        <w:t>izvori fi</w:t>
      </w:r>
      <w:r w:rsidR="00652972">
        <w:rPr>
          <w:rFonts w:ascii="Times New Roman" w:hAnsi="Times New Roman" w:cs="Times New Roman"/>
          <w:i/>
          <w:sz w:val="24"/>
          <w:szCs w:val="24"/>
        </w:rPr>
        <w:t>nanciranja 559, 561, 563, 5761,</w:t>
      </w:r>
      <w:r w:rsidRPr="0054573B">
        <w:rPr>
          <w:rFonts w:ascii="Times New Roman" w:hAnsi="Times New Roman" w:cs="Times New Roman"/>
          <w:i/>
          <w:sz w:val="24"/>
          <w:szCs w:val="24"/>
        </w:rPr>
        <w:t xml:space="preserve"> 5762</w:t>
      </w:r>
      <w:r w:rsidR="00652972">
        <w:rPr>
          <w:rFonts w:ascii="Times New Roman" w:hAnsi="Times New Roman" w:cs="Times New Roman"/>
          <w:i/>
          <w:sz w:val="24"/>
          <w:szCs w:val="24"/>
        </w:rPr>
        <w:t xml:space="preserve"> i 581</w:t>
      </w:r>
      <w:r>
        <w:rPr>
          <w:rFonts w:ascii="Times New Roman" w:hAnsi="Times New Roman" w:cs="Times New Roman"/>
          <w:sz w:val="24"/>
          <w:szCs w:val="24"/>
        </w:rPr>
        <w:t xml:space="preserve"> radi završetka projekata financiranih iz Strukturnih i investicijskih fondova, odnosno završetka razdoblja korištenja bespovratnih sredstava financiranih iz Fonda solidarnosti Europske unije</w:t>
      </w:r>
      <w:r w:rsidR="00BD6E8A">
        <w:rPr>
          <w:rFonts w:ascii="Times New Roman" w:hAnsi="Times New Roman" w:cs="Times New Roman"/>
          <w:sz w:val="24"/>
          <w:szCs w:val="24"/>
        </w:rPr>
        <w:t xml:space="preserve"> ili nastavka financiranja s</w:t>
      </w:r>
      <w:r w:rsidR="00652972">
        <w:rPr>
          <w:rFonts w:ascii="Times New Roman" w:hAnsi="Times New Roman" w:cs="Times New Roman"/>
          <w:sz w:val="24"/>
          <w:szCs w:val="24"/>
        </w:rPr>
        <w:t xml:space="preserve"> drugog izvora financiranja. </w:t>
      </w:r>
      <w:r>
        <w:rPr>
          <w:rFonts w:ascii="Times New Roman" w:hAnsi="Times New Roman" w:cs="Times New Roman"/>
          <w:sz w:val="24"/>
          <w:szCs w:val="24"/>
        </w:rPr>
        <w:t xml:space="preserve"> </w:t>
      </w:r>
    </w:p>
    <w:p w:rsidR="009E024C" w:rsidRPr="00241E61" w:rsidRDefault="009E024C" w:rsidP="009E024C">
      <w:pPr>
        <w:spacing w:before="120" w:after="0" w:line="240" w:lineRule="auto"/>
        <w:ind w:firstLine="708"/>
        <w:jc w:val="both"/>
        <w:rPr>
          <w:rFonts w:ascii="Times New Roman" w:hAnsi="Times New Roman" w:cs="Times New Roman"/>
          <w:sz w:val="24"/>
          <w:szCs w:val="24"/>
        </w:rPr>
      </w:pPr>
      <w:r w:rsidRPr="00241E61">
        <w:rPr>
          <w:rFonts w:ascii="Times New Roman" w:hAnsi="Times New Roman" w:cs="Times New Roman"/>
          <w:sz w:val="24"/>
          <w:szCs w:val="24"/>
        </w:rPr>
        <w:t>Prihodi od prodaje proizvoda i robe te pruženih usluga i prihodi od donacija (</w:t>
      </w:r>
      <w:r w:rsidRPr="00241E61">
        <w:rPr>
          <w:rFonts w:ascii="Times New Roman" w:hAnsi="Times New Roman" w:cs="Times New Roman"/>
          <w:b/>
          <w:sz w:val="24"/>
          <w:szCs w:val="24"/>
        </w:rPr>
        <w:t>skupina prihoda 66</w:t>
      </w:r>
      <w:r w:rsidRPr="00241E61">
        <w:rPr>
          <w:rFonts w:ascii="Times New Roman" w:hAnsi="Times New Roman" w:cs="Times New Roman"/>
          <w:sz w:val="24"/>
          <w:szCs w:val="24"/>
        </w:rPr>
        <w:t xml:space="preserve">) planirani su u iznosu od </w:t>
      </w:r>
      <w:r>
        <w:rPr>
          <w:rFonts w:ascii="Times New Roman" w:hAnsi="Times New Roman" w:cs="Times New Roman"/>
          <w:sz w:val="24"/>
          <w:szCs w:val="24"/>
        </w:rPr>
        <w:t>1.811.662</w:t>
      </w:r>
      <w:r w:rsidRPr="00241E61">
        <w:rPr>
          <w:rFonts w:ascii="Times New Roman" w:hAnsi="Times New Roman" w:cs="Times New Roman"/>
          <w:sz w:val="24"/>
          <w:szCs w:val="24"/>
        </w:rPr>
        <w:t xml:space="preserve"> eura za 202</w:t>
      </w:r>
      <w:r>
        <w:rPr>
          <w:rFonts w:ascii="Times New Roman" w:hAnsi="Times New Roman" w:cs="Times New Roman"/>
          <w:sz w:val="24"/>
          <w:szCs w:val="24"/>
        </w:rPr>
        <w:t>4</w:t>
      </w:r>
      <w:r w:rsidRPr="00241E61">
        <w:rPr>
          <w:rFonts w:ascii="Times New Roman" w:hAnsi="Times New Roman" w:cs="Times New Roman"/>
          <w:sz w:val="24"/>
          <w:szCs w:val="24"/>
        </w:rPr>
        <w:t>. godinu, a odnose se na vlastite prihode (</w:t>
      </w:r>
      <w:r w:rsidRPr="00241E61">
        <w:rPr>
          <w:rFonts w:ascii="Times New Roman" w:hAnsi="Times New Roman" w:cs="Times New Roman"/>
          <w:i/>
          <w:sz w:val="24"/>
          <w:szCs w:val="24"/>
        </w:rPr>
        <w:t>izvor financiranja 31</w:t>
      </w:r>
      <w:r w:rsidRPr="00241E61">
        <w:rPr>
          <w:rFonts w:ascii="Times New Roman" w:hAnsi="Times New Roman" w:cs="Times New Roman"/>
          <w:sz w:val="24"/>
          <w:szCs w:val="24"/>
        </w:rPr>
        <w:t>) ostvarene iznajmljivanjem poslovnog prostora i bankomata, prihoda od kliničkih ispitivanja i sl., te donacij</w:t>
      </w:r>
      <w:r w:rsidR="00163DD9">
        <w:rPr>
          <w:rFonts w:ascii="Times New Roman" w:hAnsi="Times New Roman" w:cs="Times New Roman"/>
          <w:sz w:val="24"/>
          <w:szCs w:val="24"/>
        </w:rPr>
        <w:t>e (</w:t>
      </w:r>
      <w:r w:rsidR="00163DD9" w:rsidRPr="00163DD9">
        <w:rPr>
          <w:rFonts w:ascii="Times New Roman" w:hAnsi="Times New Roman" w:cs="Times New Roman"/>
          <w:i/>
          <w:sz w:val="24"/>
          <w:szCs w:val="24"/>
        </w:rPr>
        <w:t>izvor financiranja 61</w:t>
      </w:r>
      <w:r w:rsidR="00163DD9">
        <w:rPr>
          <w:rFonts w:ascii="Times New Roman" w:hAnsi="Times New Roman" w:cs="Times New Roman"/>
          <w:sz w:val="24"/>
          <w:szCs w:val="24"/>
        </w:rPr>
        <w:t>)</w:t>
      </w:r>
      <w:r w:rsidRPr="00241E61">
        <w:rPr>
          <w:rFonts w:ascii="Times New Roman" w:hAnsi="Times New Roman" w:cs="Times New Roman"/>
          <w:sz w:val="24"/>
          <w:szCs w:val="24"/>
        </w:rPr>
        <w:t>. Iznosi su planirani na temelju izvršenja u tekućem razdoblju. Plan za 202</w:t>
      </w:r>
      <w:r>
        <w:rPr>
          <w:rFonts w:ascii="Times New Roman" w:hAnsi="Times New Roman" w:cs="Times New Roman"/>
          <w:sz w:val="24"/>
          <w:szCs w:val="24"/>
        </w:rPr>
        <w:t>5</w:t>
      </w:r>
      <w:r w:rsidRPr="00241E61">
        <w:rPr>
          <w:rFonts w:ascii="Times New Roman" w:hAnsi="Times New Roman" w:cs="Times New Roman"/>
          <w:sz w:val="24"/>
          <w:szCs w:val="24"/>
        </w:rPr>
        <w:t xml:space="preserve">. godinu iznosi </w:t>
      </w:r>
      <w:r>
        <w:rPr>
          <w:rFonts w:ascii="Times New Roman" w:hAnsi="Times New Roman" w:cs="Times New Roman"/>
          <w:sz w:val="24"/>
          <w:szCs w:val="24"/>
        </w:rPr>
        <w:t>1.784.097</w:t>
      </w:r>
      <w:r w:rsidRPr="00241E61">
        <w:rPr>
          <w:rFonts w:ascii="Times New Roman" w:hAnsi="Times New Roman" w:cs="Times New Roman"/>
          <w:sz w:val="24"/>
          <w:szCs w:val="24"/>
        </w:rPr>
        <w:t xml:space="preserve"> eura, te za 202</w:t>
      </w:r>
      <w:r>
        <w:rPr>
          <w:rFonts w:ascii="Times New Roman" w:hAnsi="Times New Roman" w:cs="Times New Roman"/>
          <w:sz w:val="24"/>
          <w:szCs w:val="24"/>
        </w:rPr>
        <w:t>6</w:t>
      </w:r>
      <w:r w:rsidRPr="00241E61">
        <w:rPr>
          <w:rFonts w:ascii="Times New Roman" w:hAnsi="Times New Roman" w:cs="Times New Roman"/>
          <w:sz w:val="24"/>
          <w:szCs w:val="24"/>
        </w:rPr>
        <w:t xml:space="preserve">. godinu </w:t>
      </w:r>
      <w:r>
        <w:rPr>
          <w:rFonts w:ascii="Times New Roman" w:hAnsi="Times New Roman" w:cs="Times New Roman"/>
          <w:sz w:val="24"/>
          <w:szCs w:val="24"/>
        </w:rPr>
        <w:t>1.889.740</w:t>
      </w:r>
      <w:r w:rsidRPr="00241E61">
        <w:rPr>
          <w:rFonts w:ascii="Times New Roman" w:hAnsi="Times New Roman" w:cs="Times New Roman"/>
          <w:sz w:val="24"/>
          <w:szCs w:val="24"/>
        </w:rPr>
        <w:t xml:space="preserve"> eura.</w:t>
      </w:r>
    </w:p>
    <w:p w:rsidR="009E024C" w:rsidRPr="00241E61" w:rsidRDefault="009E024C" w:rsidP="009E024C">
      <w:pPr>
        <w:spacing w:before="120" w:after="0" w:line="240" w:lineRule="auto"/>
        <w:ind w:firstLine="708"/>
        <w:jc w:val="both"/>
        <w:rPr>
          <w:rFonts w:ascii="Times New Roman" w:hAnsi="Times New Roman" w:cs="Times New Roman"/>
          <w:sz w:val="24"/>
          <w:szCs w:val="24"/>
        </w:rPr>
      </w:pPr>
      <w:r w:rsidRPr="00241E61">
        <w:rPr>
          <w:rFonts w:ascii="Times New Roman" w:hAnsi="Times New Roman" w:cs="Times New Roman"/>
          <w:sz w:val="24"/>
          <w:szCs w:val="24"/>
        </w:rPr>
        <w:t xml:space="preserve">U manjim iznosima planirani su i prihodi iz </w:t>
      </w:r>
      <w:r w:rsidRPr="00241E61">
        <w:rPr>
          <w:rFonts w:ascii="Times New Roman" w:hAnsi="Times New Roman" w:cs="Times New Roman"/>
          <w:b/>
          <w:sz w:val="24"/>
          <w:szCs w:val="24"/>
        </w:rPr>
        <w:t>skupine prihoda 64</w:t>
      </w:r>
      <w:r w:rsidRPr="00241E61">
        <w:rPr>
          <w:rFonts w:ascii="Times New Roman" w:hAnsi="Times New Roman" w:cs="Times New Roman"/>
          <w:sz w:val="24"/>
          <w:szCs w:val="24"/>
        </w:rPr>
        <w:t xml:space="preserve"> – Prihodi od imovine na </w:t>
      </w:r>
      <w:r w:rsidRPr="00241E61">
        <w:rPr>
          <w:rFonts w:ascii="Times New Roman" w:hAnsi="Times New Roman" w:cs="Times New Roman"/>
          <w:i/>
          <w:sz w:val="24"/>
          <w:szCs w:val="24"/>
        </w:rPr>
        <w:t>izvoru financiranja 31 Vlastiti prihodi</w:t>
      </w:r>
      <w:r w:rsidRPr="00241E61">
        <w:rPr>
          <w:rFonts w:ascii="Times New Roman" w:hAnsi="Times New Roman" w:cs="Times New Roman"/>
          <w:sz w:val="24"/>
          <w:szCs w:val="24"/>
        </w:rPr>
        <w:t xml:space="preserve"> i </w:t>
      </w:r>
      <w:r w:rsidRPr="00241E61">
        <w:rPr>
          <w:rFonts w:ascii="Times New Roman" w:hAnsi="Times New Roman" w:cs="Times New Roman"/>
          <w:b/>
          <w:sz w:val="24"/>
          <w:szCs w:val="24"/>
        </w:rPr>
        <w:t>skupine prihoda 68</w:t>
      </w:r>
      <w:r w:rsidRPr="00241E61">
        <w:rPr>
          <w:rFonts w:ascii="Times New Roman" w:hAnsi="Times New Roman" w:cs="Times New Roman"/>
          <w:sz w:val="24"/>
          <w:szCs w:val="24"/>
        </w:rPr>
        <w:t xml:space="preserve"> – Kazne, upravne mjere i ostali prihodi </w:t>
      </w:r>
      <w:r w:rsidRPr="00241E61">
        <w:rPr>
          <w:rFonts w:ascii="Times New Roman" w:hAnsi="Times New Roman" w:cs="Times New Roman"/>
          <w:i/>
          <w:sz w:val="24"/>
          <w:szCs w:val="24"/>
        </w:rPr>
        <w:t xml:space="preserve">na izvoru financiranja </w:t>
      </w:r>
      <w:r>
        <w:rPr>
          <w:rFonts w:ascii="Times New Roman" w:hAnsi="Times New Roman" w:cs="Times New Roman"/>
          <w:i/>
          <w:sz w:val="24"/>
          <w:szCs w:val="24"/>
        </w:rPr>
        <w:t>4</w:t>
      </w:r>
      <w:r w:rsidRPr="00241E61">
        <w:rPr>
          <w:rFonts w:ascii="Times New Roman" w:hAnsi="Times New Roman" w:cs="Times New Roman"/>
          <w:i/>
          <w:sz w:val="24"/>
          <w:szCs w:val="24"/>
        </w:rPr>
        <w:t>3</w:t>
      </w:r>
      <w:r>
        <w:rPr>
          <w:rFonts w:ascii="Times New Roman" w:hAnsi="Times New Roman" w:cs="Times New Roman"/>
          <w:i/>
          <w:sz w:val="24"/>
          <w:szCs w:val="24"/>
        </w:rPr>
        <w:t xml:space="preserve"> Ostali prihodi za posebne namjene.</w:t>
      </w:r>
    </w:p>
    <w:p w:rsidR="009E024C" w:rsidRDefault="009E024C" w:rsidP="009E024C">
      <w:pPr>
        <w:spacing w:before="120" w:after="0" w:line="240" w:lineRule="auto"/>
        <w:ind w:firstLine="708"/>
        <w:jc w:val="both"/>
        <w:rPr>
          <w:rFonts w:ascii="Times New Roman" w:hAnsi="Times New Roman" w:cs="Times New Roman"/>
          <w:sz w:val="24"/>
          <w:szCs w:val="24"/>
        </w:rPr>
      </w:pPr>
      <w:r w:rsidRPr="00241E61">
        <w:rPr>
          <w:rFonts w:ascii="Times New Roman" w:hAnsi="Times New Roman" w:cs="Times New Roman"/>
          <w:sz w:val="24"/>
          <w:szCs w:val="24"/>
        </w:rPr>
        <w:t xml:space="preserve">U razredu 7 na </w:t>
      </w:r>
      <w:r w:rsidRPr="00241E61">
        <w:rPr>
          <w:rFonts w:ascii="Times New Roman" w:hAnsi="Times New Roman" w:cs="Times New Roman"/>
          <w:b/>
          <w:sz w:val="24"/>
          <w:szCs w:val="24"/>
        </w:rPr>
        <w:t>skupini prihoda 72</w:t>
      </w:r>
      <w:r w:rsidRPr="00241E61">
        <w:rPr>
          <w:rFonts w:ascii="Times New Roman" w:hAnsi="Times New Roman" w:cs="Times New Roman"/>
          <w:sz w:val="24"/>
          <w:szCs w:val="24"/>
        </w:rPr>
        <w:t xml:space="preserve"> (Prihodi od prodaje </w:t>
      </w:r>
      <w:r w:rsidR="00BD6E8A">
        <w:rPr>
          <w:rFonts w:ascii="Times New Roman" w:hAnsi="Times New Roman" w:cs="Times New Roman"/>
          <w:sz w:val="24"/>
          <w:szCs w:val="24"/>
        </w:rPr>
        <w:t>proizvedene dugotrajne</w:t>
      </w:r>
      <w:r w:rsidRPr="00241E61">
        <w:rPr>
          <w:rFonts w:ascii="Times New Roman" w:hAnsi="Times New Roman" w:cs="Times New Roman"/>
          <w:sz w:val="24"/>
          <w:szCs w:val="24"/>
        </w:rPr>
        <w:t xml:space="preserve"> imovine) također je planiran manji prihod od prodaje stanova na </w:t>
      </w:r>
      <w:r w:rsidRPr="00241E61">
        <w:rPr>
          <w:rFonts w:ascii="Times New Roman" w:hAnsi="Times New Roman" w:cs="Times New Roman"/>
          <w:i/>
          <w:sz w:val="24"/>
          <w:szCs w:val="24"/>
        </w:rPr>
        <w:t>izvoru financiranja 71</w:t>
      </w:r>
      <w:r w:rsidRPr="00241E61">
        <w:rPr>
          <w:rFonts w:ascii="Times New Roman" w:hAnsi="Times New Roman" w:cs="Times New Roman"/>
          <w:sz w:val="24"/>
          <w:szCs w:val="24"/>
        </w:rPr>
        <w:t xml:space="preserve"> </w:t>
      </w:r>
      <w:r w:rsidRPr="000C386E">
        <w:rPr>
          <w:rFonts w:ascii="Times New Roman" w:hAnsi="Times New Roman" w:cs="Times New Roman"/>
          <w:i/>
          <w:sz w:val="24"/>
          <w:szCs w:val="24"/>
        </w:rPr>
        <w:t>Prihodi od prodaje ili zamjene nefinancijske imovine i naknade s naslova osiguranja</w:t>
      </w:r>
      <w:r>
        <w:rPr>
          <w:rFonts w:ascii="Times New Roman" w:hAnsi="Times New Roman" w:cs="Times New Roman"/>
          <w:sz w:val="24"/>
          <w:szCs w:val="24"/>
        </w:rPr>
        <w:t xml:space="preserve"> </w:t>
      </w:r>
      <w:r w:rsidRPr="00241E61">
        <w:rPr>
          <w:rFonts w:ascii="Times New Roman" w:hAnsi="Times New Roman" w:cs="Times New Roman"/>
          <w:sz w:val="24"/>
          <w:szCs w:val="24"/>
        </w:rPr>
        <w:t>kroz sve tri planske godine.</w:t>
      </w:r>
    </w:p>
    <w:p w:rsidR="007E73A6" w:rsidRDefault="007E73A6" w:rsidP="008E3300">
      <w:pPr>
        <w:spacing w:before="120" w:after="0" w:line="240" w:lineRule="auto"/>
        <w:jc w:val="both"/>
        <w:rPr>
          <w:rFonts w:ascii="Times New Roman" w:hAnsi="Times New Roman" w:cs="Times New Roman"/>
          <w:sz w:val="24"/>
          <w:szCs w:val="24"/>
        </w:rPr>
      </w:pPr>
    </w:p>
    <w:p w:rsidR="009E024C" w:rsidRPr="00B72343" w:rsidRDefault="009E024C" w:rsidP="009E024C">
      <w:pPr>
        <w:spacing w:before="120" w:line="240" w:lineRule="auto"/>
        <w:jc w:val="both"/>
        <w:rPr>
          <w:rFonts w:ascii="Times New Roman" w:hAnsi="Times New Roman" w:cs="Times New Roman"/>
          <w:b/>
          <w:sz w:val="24"/>
          <w:szCs w:val="24"/>
        </w:rPr>
      </w:pPr>
      <w:r w:rsidRPr="00B72343">
        <w:rPr>
          <w:rFonts w:ascii="Times New Roman" w:hAnsi="Times New Roman" w:cs="Times New Roman"/>
          <w:b/>
          <w:sz w:val="24"/>
          <w:szCs w:val="24"/>
        </w:rPr>
        <w:t>RASHODI I IZDACI</w:t>
      </w:r>
    </w:p>
    <w:p w:rsidR="00194E15" w:rsidRDefault="00194E15" w:rsidP="00194E15">
      <w:pPr>
        <w:spacing w:before="120" w:line="240" w:lineRule="auto"/>
        <w:ind w:firstLine="708"/>
        <w:jc w:val="both"/>
        <w:rPr>
          <w:rFonts w:ascii="Times New Roman" w:hAnsi="Times New Roman" w:cs="Times New Roman"/>
          <w:sz w:val="24"/>
          <w:szCs w:val="24"/>
        </w:rPr>
      </w:pPr>
      <w:r w:rsidRPr="00241E61">
        <w:rPr>
          <w:rFonts w:ascii="Times New Roman" w:hAnsi="Times New Roman" w:cs="Times New Roman"/>
          <w:sz w:val="24"/>
          <w:szCs w:val="24"/>
        </w:rPr>
        <w:t xml:space="preserve">Ukupni rashodi planirani su u iznosu od </w:t>
      </w:r>
      <w:r>
        <w:rPr>
          <w:rFonts w:ascii="Times New Roman" w:hAnsi="Times New Roman" w:cs="Times New Roman"/>
          <w:sz w:val="24"/>
          <w:szCs w:val="24"/>
        </w:rPr>
        <w:t>284.001.343</w:t>
      </w:r>
      <w:r w:rsidRPr="00241E61">
        <w:rPr>
          <w:rFonts w:ascii="Times New Roman" w:hAnsi="Times New Roman" w:cs="Times New Roman"/>
          <w:sz w:val="24"/>
          <w:szCs w:val="24"/>
        </w:rPr>
        <w:t xml:space="preserve"> eura u 202</w:t>
      </w:r>
      <w:r>
        <w:rPr>
          <w:rFonts w:ascii="Times New Roman" w:hAnsi="Times New Roman" w:cs="Times New Roman"/>
          <w:sz w:val="24"/>
          <w:szCs w:val="24"/>
        </w:rPr>
        <w:t>4</w:t>
      </w:r>
      <w:r w:rsidRPr="00241E61">
        <w:rPr>
          <w:rFonts w:ascii="Times New Roman" w:hAnsi="Times New Roman" w:cs="Times New Roman"/>
          <w:sz w:val="24"/>
          <w:szCs w:val="24"/>
        </w:rPr>
        <w:t xml:space="preserve">. godini i veći su za </w:t>
      </w:r>
      <w:r>
        <w:rPr>
          <w:rFonts w:ascii="Times New Roman" w:hAnsi="Times New Roman" w:cs="Times New Roman"/>
          <w:sz w:val="24"/>
          <w:szCs w:val="24"/>
        </w:rPr>
        <w:t>3</w:t>
      </w:r>
      <w:r w:rsidRPr="00241E61">
        <w:rPr>
          <w:rFonts w:ascii="Times New Roman" w:hAnsi="Times New Roman" w:cs="Times New Roman"/>
          <w:sz w:val="24"/>
          <w:szCs w:val="24"/>
        </w:rPr>
        <w:t>,</w:t>
      </w:r>
      <w:r>
        <w:rPr>
          <w:rFonts w:ascii="Times New Roman" w:hAnsi="Times New Roman" w:cs="Times New Roman"/>
          <w:sz w:val="24"/>
          <w:szCs w:val="24"/>
        </w:rPr>
        <w:t>16</w:t>
      </w:r>
      <w:r w:rsidRPr="00241E61">
        <w:rPr>
          <w:rFonts w:ascii="Times New Roman" w:hAnsi="Times New Roman" w:cs="Times New Roman"/>
          <w:sz w:val="24"/>
          <w:szCs w:val="24"/>
        </w:rPr>
        <w:t xml:space="preserve"> % u odnosu na</w:t>
      </w:r>
      <w:r>
        <w:rPr>
          <w:rFonts w:ascii="Times New Roman" w:hAnsi="Times New Roman" w:cs="Times New Roman"/>
          <w:sz w:val="24"/>
          <w:szCs w:val="24"/>
        </w:rPr>
        <w:t xml:space="preserve"> Izmjene i dopune Financijskog plana KBC Sestre milosrdnice za 2023. godinu (Rebalans II). Za 2025</w:t>
      </w:r>
      <w:r w:rsidRPr="00241E61">
        <w:rPr>
          <w:rFonts w:ascii="Times New Roman" w:hAnsi="Times New Roman" w:cs="Times New Roman"/>
          <w:sz w:val="24"/>
          <w:szCs w:val="24"/>
        </w:rPr>
        <w:t>. godinu planiran je iznos od</w:t>
      </w:r>
      <w:r w:rsidR="00E615DA">
        <w:rPr>
          <w:rFonts w:ascii="Times New Roman" w:hAnsi="Times New Roman" w:cs="Times New Roman"/>
          <w:sz w:val="24"/>
          <w:szCs w:val="24"/>
        </w:rPr>
        <w:t xml:space="preserve"> 283.785.777</w:t>
      </w:r>
      <w:r w:rsidRPr="00241E61">
        <w:rPr>
          <w:rFonts w:ascii="Times New Roman" w:hAnsi="Times New Roman" w:cs="Times New Roman"/>
          <w:sz w:val="24"/>
          <w:szCs w:val="24"/>
        </w:rPr>
        <w:t xml:space="preserve"> </w:t>
      </w:r>
      <w:r>
        <w:rPr>
          <w:rFonts w:ascii="Times New Roman" w:hAnsi="Times New Roman" w:cs="Times New Roman"/>
          <w:sz w:val="24"/>
          <w:szCs w:val="24"/>
        </w:rPr>
        <w:t>eura</w:t>
      </w:r>
      <w:r w:rsidRPr="00241E61">
        <w:rPr>
          <w:rFonts w:ascii="Times New Roman" w:hAnsi="Times New Roman" w:cs="Times New Roman"/>
          <w:sz w:val="24"/>
          <w:szCs w:val="24"/>
        </w:rPr>
        <w:t xml:space="preserve"> i </w:t>
      </w:r>
      <w:r w:rsidR="00E615DA">
        <w:rPr>
          <w:rFonts w:ascii="Times New Roman" w:hAnsi="Times New Roman" w:cs="Times New Roman"/>
          <w:sz w:val="24"/>
          <w:szCs w:val="24"/>
        </w:rPr>
        <w:t>30</w:t>
      </w:r>
      <w:r>
        <w:rPr>
          <w:rFonts w:ascii="Times New Roman" w:hAnsi="Times New Roman" w:cs="Times New Roman"/>
          <w:sz w:val="24"/>
          <w:szCs w:val="24"/>
        </w:rPr>
        <w:t>2.</w:t>
      </w:r>
      <w:r w:rsidR="00E615DA">
        <w:rPr>
          <w:rFonts w:ascii="Times New Roman" w:hAnsi="Times New Roman" w:cs="Times New Roman"/>
          <w:sz w:val="24"/>
          <w:szCs w:val="24"/>
        </w:rPr>
        <w:t>243</w:t>
      </w:r>
      <w:r>
        <w:rPr>
          <w:rFonts w:ascii="Times New Roman" w:hAnsi="Times New Roman" w:cs="Times New Roman"/>
          <w:sz w:val="24"/>
          <w:szCs w:val="24"/>
        </w:rPr>
        <w:t>.</w:t>
      </w:r>
      <w:r w:rsidR="00E615DA">
        <w:rPr>
          <w:rFonts w:ascii="Times New Roman" w:hAnsi="Times New Roman" w:cs="Times New Roman"/>
          <w:sz w:val="24"/>
          <w:szCs w:val="24"/>
        </w:rPr>
        <w:t>483</w:t>
      </w:r>
      <w:r>
        <w:rPr>
          <w:rFonts w:ascii="Times New Roman" w:hAnsi="Times New Roman" w:cs="Times New Roman"/>
          <w:sz w:val="24"/>
          <w:szCs w:val="24"/>
        </w:rPr>
        <w:t xml:space="preserve"> </w:t>
      </w:r>
      <w:r w:rsidRPr="00241E61">
        <w:rPr>
          <w:rFonts w:ascii="Times New Roman" w:hAnsi="Times New Roman" w:cs="Times New Roman"/>
          <w:sz w:val="24"/>
          <w:szCs w:val="24"/>
        </w:rPr>
        <w:t xml:space="preserve">eura </w:t>
      </w:r>
      <w:r>
        <w:rPr>
          <w:rFonts w:ascii="Times New Roman" w:hAnsi="Times New Roman" w:cs="Times New Roman"/>
          <w:sz w:val="24"/>
          <w:szCs w:val="24"/>
        </w:rPr>
        <w:t xml:space="preserve"> </w:t>
      </w:r>
      <w:r w:rsidRPr="00241E61">
        <w:rPr>
          <w:rFonts w:ascii="Times New Roman" w:hAnsi="Times New Roman" w:cs="Times New Roman"/>
          <w:sz w:val="24"/>
          <w:szCs w:val="24"/>
        </w:rPr>
        <w:t>u 202</w:t>
      </w:r>
      <w:r w:rsidR="00E615DA">
        <w:rPr>
          <w:rFonts w:ascii="Times New Roman" w:hAnsi="Times New Roman" w:cs="Times New Roman"/>
          <w:sz w:val="24"/>
          <w:szCs w:val="24"/>
        </w:rPr>
        <w:t>6. godini</w:t>
      </w:r>
      <w:r>
        <w:rPr>
          <w:rFonts w:ascii="Times New Roman" w:hAnsi="Times New Roman" w:cs="Times New Roman"/>
          <w:sz w:val="24"/>
          <w:szCs w:val="24"/>
        </w:rPr>
        <w:t>.</w:t>
      </w:r>
    </w:p>
    <w:p w:rsidR="00194E15" w:rsidRPr="00241E61" w:rsidRDefault="00194E15" w:rsidP="00194E15">
      <w:pPr>
        <w:spacing w:before="120" w:line="240" w:lineRule="auto"/>
        <w:ind w:firstLine="708"/>
        <w:jc w:val="both"/>
        <w:rPr>
          <w:rFonts w:ascii="Times New Roman" w:hAnsi="Times New Roman" w:cs="Times New Roman"/>
          <w:sz w:val="24"/>
          <w:szCs w:val="24"/>
        </w:rPr>
      </w:pPr>
      <w:r>
        <w:rPr>
          <w:rFonts w:ascii="Times New Roman" w:hAnsi="Times New Roman" w:cs="Times New Roman"/>
          <w:sz w:val="24"/>
          <w:szCs w:val="24"/>
        </w:rPr>
        <w:t>Najznačajniji rashodi odnose se na</w:t>
      </w:r>
      <w:r w:rsidRPr="00241E61">
        <w:rPr>
          <w:rFonts w:ascii="Times New Roman" w:hAnsi="Times New Roman" w:cs="Times New Roman"/>
          <w:sz w:val="24"/>
          <w:szCs w:val="24"/>
        </w:rPr>
        <w:t xml:space="preserve"> </w:t>
      </w:r>
      <w:r w:rsidRPr="007A16A5">
        <w:rPr>
          <w:rFonts w:ascii="Times New Roman" w:hAnsi="Times New Roman" w:cs="Times New Roman"/>
          <w:b/>
          <w:sz w:val="24"/>
          <w:szCs w:val="24"/>
        </w:rPr>
        <w:t>sku</w:t>
      </w:r>
      <w:r w:rsidRPr="00241E61">
        <w:rPr>
          <w:rFonts w:ascii="Times New Roman" w:hAnsi="Times New Roman" w:cs="Times New Roman"/>
          <w:b/>
          <w:sz w:val="24"/>
          <w:szCs w:val="24"/>
        </w:rPr>
        <w:t>pin</w:t>
      </w:r>
      <w:r>
        <w:rPr>
          <w:rFonts w:ascii="Times New Roman" w:hAnsi="Times New Roman" w:cs="Times New Roman"/>
          <w:b/>
          <w:sz w:val="24"/>
          <w:szCs w:val="24"/>
        </w:rPr>
        <w:t>u</w:t>
      </w:r>
      <w:r w:rsidRPr="00241E61">
        <w:rPr>
          <w:rFonts w:ascii="Times New Roman" w:hAnsi="Times New Roman" w:cs="Times New Roman"/>
          <w:b/>
          <w:sz w:val="24"/>
          <w:szCs w:val="24"/>
        </w:rPr>
        <w:t xml:space="preserve"> konta 31 </w:t>
      </w:r>
      <w:r w:rsidRPr="00241E61">
        <w:rPr>
          <w:rFonts w:ascii="Times New Roman" w:hAnsi="Times New Roman" w:cs="Times New Roman"/>
          <w:sz w:val="24"/>
          <w:szCs w:val="24"/>
        </w:rPr>
        <w:t xml:space="preserve">Rashodi za zaposlene, </w:t>
      </w:r>
      <w:r>
        <w:rPr>
          <w:rFonts w:ascii="Times New Roman" w:hAnsi="Times New Roman" w:cs="Times New Roman"/>
          <w:sz w:val="24"/>
          <w:szCs w:val="24"/>
        </w:rPr>
        <w:t>koji</w:t>
      </w:r>
      <w:r w:rsidRPr="00241E61">
        <w:rPr>
          <w:rFonts w:ascii="Times New Roman" w:hAnsi="Times New Roman" w:cs="Times New Roman"/>
          <w:sz w:val="24"/>
          <w:szCs w:val="24"/>
        </w:rPr>
        <w:t xml:space="preserve"> su planirani u iznosu od </w:t>
      </w:r>
      <w:r w:rsidR="00E615DA">
        <w:rPr>
          <w:rFonts w:ascii="Times New Roman" w:hAnsi="Times New Roman" w:cs="Times New Roman"/>
          <w:sz w:val="24"/>
          <w:szCs w:val="24"/>
        </w:rPr>
        <w:t>132.013.311 eura</w:t>
      </w:r>
      <w:r w:rsidRPr="00241E61">
        <w:rPr>
          <w:rFonts w:ascii="Times New Roman" w:hAnsi="Times New Roman" w:cs="Times New Roman"/>
          <w:sz w:val="24"/>
          <w:szCs w:val="24"/>
        </w:rPr>
        <w:t xml:space="preserve"> što je </w:t>
      </w:r>
      <w:r w:rsidR="00511E21">
        <w:rPr>
          <w:rFonts w:ascii="Times New Roman" w:hAnsi="Times New Roman" w:cs="Times New Roman"/>
          <w:sz w:val="24"/>
          <w:szCs w:val="24"/>
        </w:rPr>
        <w:t>11</w:t>
      </w:r>
      <w:r>
        <w:rPr>
          <w:rFonts w:ascii="Times New Roman" w:hAnsi="Times New Roman" w:cs="Times New Roman"/>
          <w:sz w:val="24"/>
          <w:szCs w:val="24"/>
        </w:rPr>
        <w:t>,9</w:t>
      </w:r>
      <w:r w:rsidR="00511E21">
        <w:rPr>
          <w:rFonts w:ascii="Times New Roman" w:hAnsi="Times New Roman" w:cs="Times New Roman"/>
          <w:sz w:val="24"/>
          <w:szCs w:val="24"/>
        </w:rPr>
        <w:t>9</w:t>
      </w:r>
      <w:r w:rsidRPr="00241E61">
        <w:rPr>
          <w:rFonts w:ascii="Times New Roman" w:hAnsi="Times New Roman" w:cs="Times New Roman"/>
          <w:sz w:val="24"/>
          <w:szCs w:val="24"/>
        </w:rPr>
        <w:t xml:space="preserve"> % veći iznos od p</w:t>
      </w:r>
      <w:r>
        <w:rPr>
          <w:rFonts w:ascii="Times New Roman" w:hAnsi="Times New Roman" w:cs="Times New Roman"/>
          <w:sz w:val="24"/>
          <w:szCs w:val="24"/>
        </w:rPr>
        <w:t>laniranog iznosa iz Rebalansa II</w:t>
      </w:r>
      <w:r w:rsidRPr="00241E61">
        <w:rPr>
          <w:rFonts w:ascii="Times New Roman" w:hAnsi="Times New Roman" w:cs="Times New Roman"/>
          <w:sz w:val="24"/>
          <w:szCs w:val="24"/>
        </w:rPr>
        <w:t xml:space="preserve">. </w:t>
      </w:r>
      <w:r w:rsidRPr="00CB7E54">
        <w:rPr>
          <w:rFonts w:ascii="Times New Roman" w:hAnsi="Times New Roman" w:cs="Times New Roman"/>
          <w:color w:val="000000" w:themeColor="text1"/>
          <w:sz w:val="24"/>
          <w:szCs w:val="24"/>
        </w:rPr>
        <w:t xml:space="preserve">Povećanje se odnosi </w:t>
      </w:r>
      <w:r>
        <w:rPr>
          <w:rFonts w:ascii="Times New Roman" w:hAnsi="Times New Roman" w:cs="Times New Roman"/>
          <w:color w:val="000000" w:themeColor="text1"/>
          <w:sz w:val="24"/>
          <w:szCs w:val="24"/>
        </w:rPr>
        <w:t>na projekciju izračuna plaća sukladno trenutno važećoj Odluci o isplati dodatka na plaću državnim službenicima i namještenicima koji su raspoređeni na radna mjesta za koje je utvrđen koeficijent složenosti poslova do 1,867, a koji bi trebao biti reguliran novim Zakonom o plaćama</w:t>
      </w:r>
      <w:r w:rsidR="00C4277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te Dodatku III Temeljnom kolektivnom ugovoru za službenike i namještenike u javnim službama</w:t>
      </w:r>
      <w:r w:rsidR="00C4277B">
        <w:rPr>
          <w:rFonts w:ascii="Times New Roman" w:hAnsi="Times New Roman" w:cs="Times New Roman"/>
          <w:color w:val="000000" w:themeColor="text1"/>
          <w:sz w:val="24"/>
          <w:szCs w:val="24"/>
        </w:rPr>
        <w:t xml:space="preserve"> </w:t>
      </w:r>
      <w:r w:rsidR="00C4277B" w:rsidRPr="00C4277B">
        <w:rPr>
          <w:rFonts w:ascii="Times New Roman" w:hAnsi="Times New Roman" w:cs="Times New Roman"/>
          <w:color w:val="000000" w:themeColor="text1"/>
          <w:sz w:val="24"/>
          <w:szCs w:val="24"/>
        </w:rPr>
        <w:t>i</w:t>
      </w:r>
      <w:r w:rsidR="006E55D8" w:rsidRPr="00C4277B">
        <w:rPr>
          <w:rFonts w:ascii="Times New Roman" w:hAnsi="Times New Roman" w:cs="Times New Roman"/>
          <w:color w:val="000000" w:themeColor="text1"/>
          <w:sz w:val="24"/>
          <w:szCs w:val="24"/>
        </w:rPr>
        <w:t xml:space="preserve"> obavijesti</w:t>
      </w:r>
      <w:r w:rsidR="00511E21" w:rsidRPr="00C4277B">
        <w:rPr>
          <w:rFonts w:ascii="Times New Roman" w:hAnsi="Times New Roman" w:cs="Times New Roman"/>
          <w:color w:val="000000" w:themeColor="text1"/>
          <w:sz w:val="24"/>
          <w:szCs w:val="24"/>
        </w:rPr>
        <w:t xml:space="preserve"> Ministarstva zdravstva</w:t>
      </w:r>
      <w:r w:rsidR="006E55D8" w:rsidRPr="00C4277B">
        <w:rPr>
          <w:rFonts w:ascii="Times New Roman" w:hAnsi="Times New Roman" w:cs="Times New Roman"/>
          <w:color w:val="000000" w:themeColor="text1"/>
          <w:sz w:val="24"/>
          <w:szCs w:val="24"/>
        </w:rPr>
        <w:t xml:space="preserve"> o povećanju rashoda za zaposlene</w:t>
      </w:r>
      <w:r w:rsidR="00C4277B">
        <w:rPr>
          <w:rFonts w:ascii="Times New Roman" w:hAnsi="Times New Roman" w:cs="Times New Roman"/>
          <w:color w:val="000000" w:themeColor="text1"/>
          <w:sz w:val="24"/>
          <w:szCs w:val="24"/>
        </w:rPr>
        <w:t>.</w:t>
      </w:r>
      <w:r w:rsidRPr="00511E21">
        <w:rPr>
          <w:rFonts w:ascii="Times New Roman" w:hAnsi="Times New Roman" w:cs="Times New Roman"/>
          <w:color w:val="FF0000"/>
          <w:sz w:val="24"/>
          <w:szCs w:val="24"/>
        </w:rPr>
        <w:t xml:space="preserve"> </w:t>
      </w:r>
      <w:r w:rsidRPr="00241E61">
        <w:rPr>
          <w:rFonts w:ascii="Times New Roman" w:hAnsi="Times New Roman" w:cs="Times New Roman"/>
          <w:sz w:val="24"/>
          <w:szCs w:val="24"/>
        </w:rPr>
        <w:t xml:space="preserve">Najveći dio rashoda planiran je </w:t>
      </w:r>
      <w:r w:rsidRPr="00241E61">
        <w:rPr>
          <w:rFonts w:ascii="Times New Roman" w:hAnsi="Times New Roman" w:cs="Times New Roman"/>
          <w:i/>
          <w:sz w:val="24"/>
          <w:szCs w:val="24"/>
        </w:rPr>
        <w:t>na izvoru financiranja 43 Ostali prihodi za posebne namjene</w:t>
      </w:r>
      <w:r w:rsidRPr="00241E61">
        <w:rPr>
          <w:rFonts w:ascii="Times New Roman" w:hAnsi="Times New Roman" w:cs="Times New Roman"/>
          <w:sz w:val="24"/>
          <w:szCs w:val="24"/>
        </w:rPr>
        <w:t xml:space="preserve">, dok je dio rashoda za zaposlene planiran i kroz </w:t>
      </w:r>
      <w:r w:rsidRPr="00861133">
        <w:rPr>
          <w:rFonts w:ascii="Times New Roman" w:hAnsi="Times New Roman" w:cs="Times New Roman"/>
          <w:i/>
          <w:sz w:val="24"/>
          <w:szCs w:val="24"/>
        </w:rPr>
        <w:t>izvor financiranja 52 Ostale pomoći</w:t>
      </w:r>
      <w:r>
        <w:rPr>
          <w:rFonts w:ascii="Times New Roman" w:hAnsi="Times New Roman" w:cs="Times New Roman"/>
          <w:sz w:val="24"/>
          <w:szCs w:val="24"/>
        </w:rPr>
        <w:t xml:space="preserve"> za sufinanciranje plaća pripravnika i </w:t>
      </w:r>
      <w:r w:rsidRPr="00861133">
        <w:rPr>
          <w:rFonts w:ascii="Times New Roman" w:hAnsi="Times New Roman" w:cs="Times New Roman"/>
          <w:i/>
          <w:sz w:val="24"/>
          <w:szCs w:val="24"/>
        </w:rPr>
        <w:t>izvor financiranja 61</w:t>
      </w:r>
      <w:r>
        <w:rPr>
          <w:rFonts w:ascii="Times New Roman" w:hAnsi="Times New Roman" w:cs="Times New Roman"/>
          <w:sz w:val="24"/>
          <w:szCs w:val="24"/>
        </w:rPr>
        <w:t xml:space="preserve"> za refundaciju dijela plaće za održavanje edukacija na Katoličkom sveučilištu u Zagrebu</w:t>
      </w:r>
      <w:r w:rsidRPr="00241E61">
        <w:rPr>
          <w:rFonts w:ascii="Times New Roman" w:hAnsi="Times New Roman" w:cs="Times New Roman"/>
          <w:sz w:val="24"/>
          <w:szCs w:val="24"/>
        </w:rPr>
        <w:t>. Za ovu skupinu rashoda za 202</w:t>
      </w:r>
      <w:r>
        <w:rPr>
          <w:rFonts w:ascii="Times New Roman" w:hAnsi="Times New Roman" w:cs="Times New Roman"/>
          <w:sz w:val="24"/>
          <w:szCs w:val="24"/>
        </w:rPr>
        <w:t>5</w:t>
      </w:r>
      <w:r w:rsidRPr="00241E61">
        <w:rPr>
          <w:rFonts w:ascii="Times New Roman" w:hAnsi="Times New Roman" w:cs="Times New Roman"/>
          <w:sz w:val="24"/>
          <w:szCs w:val="24"/>
        </w:rPr>
        <w:t xml:space="preserve">. godinu planiran je iznos od </w:t>
      </w:r>
      <w:r>
        <w:rPr>
          <w:rFonts w:ascii="Times New Roman" w:hAnsi="Times New Roman" w:cs="Times New Roman"/>
          <w:sz w:val="24"/>
          <w:szCs w:val="24"/>
        </w:rPr>
        <w:t xml:space="preserve">134.275.647 </w:t>
      </w:r>
      <w:r w:rsidRPr="00241E61">
        <w:rPr>
          <w:rFonts w:ascii="Times New Roman" w:hAnsi="Times New Roman" w:cs="Times New Roman"/>
          <w:sz w:val="24"/>
          <w:szCs w:val="24"/>
        </w:rPr>
        <w:t>eura, te za 202</w:t>
      </w:r>
      <w:r>
        <w:rPr>
          <w:rFonts w:ascii="Times New Roman" w:hAnsi="Times New Roman" w:cs="Times New Roman"/>
          <w:sz w:val="24"/>
          <w:szCs w:val="24"/>
        </w:rPr>
        <w:t>6</w:t>
      </w:r>
      <w:r w:rsidRPr="00241E61">
        <w:rPr>
          <w:rFonts w:ascii="Times New Roman" w:hAnsi="Times New Roman" w:cs="Times New Roman"/>
          <w:sz w:val="24"/>
          <w:szCs w:val="24"/>
        </w:rPr>
        <w:t xml:space="preserve">. godinu </w:t>
      </w:r>
      <w:r>
        <w:rPr>
          <w:rFonts w:ascii="Times New Roman" w:hAnsi="Times New Roman" w:cs="Times New Roman"/>
          <w:sz w:val="24"/>
          <w:szCs w:val="24"/>
        </w:rPr>
        <w:t xml:space="preserve">136.583.251 </w:t>
      </w:r>
      <w:r w:rsidRPr="00241E61">
        <w:rPr>
          <w:rFonts w:ascii="Times New Roman" w:hAnsi="Times New Roman" w:cs="Times New Roman"/>
          <w:sz w:val="24"/>
          <w:szCs w:val="24"/>
        </w:rPr>
        <w:t>eur</w:t>
      </w:r>
      <w:r>
        <w:rPr>
          <w:rFonts w:ascii="Times New Roman" w:hAnsi="Times New Roman" w:cs="Times New Roman"/>
          <w:sz w:val="24"/>
          <w:szCs w:val="24"/>
        </w:rPr>
        <w:t>o</w:t>
      </w:r>
      <w:r w:rsidRPr="00241E61">
        <w:rPr>
          <w:rFonts w:ascii="Times New Roman" w:hAnsi="Times New Roman" w:cs="Times New Roman"/>
          <w:sz w:val="24"/>
          <w:szCs w:val="24"/>
        </w:rPr>
        <w:t>.</w:t>
      </w:r>
    </w:p>
    <w:p w:rsidR="00194E15" w:rsidRDefault="00194E15" w:rsidP="00194E15">
      <w:pPr>
        <w:spacing w:before="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Druga je značajna </w:t>
      </w:r>
      <w:r w:rsidRPr="00B057BE">
        <w:rPr>
          <w:rFonts w:ascii="Times New Roman" w:hAnsi="Times New Roman" w:cs="Times New Roman"/>
          <w:b/>
          <w:sz w:val="24"/>
          <w:szCs w:val="24"/>
        </w:rPr>
        <w:t xml:space="preserve">skupina konta 32 </w:t>
      </w:r>
      <w:r w:rsidRPr="00B057BE">
        <w:rPr>
          <w:rFonts w:ascii="Times New Roman" w:hAnsi="Times New Roman" w:cs="Times New Roman"/>
          <w:sz w:val="24"/>
          <w:szCs w:val="24"/>
        </w:rPr>
        <w:t>Materijalni rashodi</w:t>
      </w:r>
      <w:r w:rsidRPr="00241E61">
        <w:rPr>
          <w:rFonts w:ascii="Times New Roman" w:hAnsi="Times New Roman" w:cs="Times New Roman"/>
          <w:sz w:val="24"/>
          <w:szCs w:val="24"/>
        </w:rPr>
        <w:t xml:space="preserve"> gdje je planiran iznos od </w:t>
      </w:r>
      <w:r>
        <w:rPr>
          <w:rFonts w:ascii="Times New Roman" w:hAnsi="Times New Roman" w:cs="Times New Roman"/>
          <w:sz w:val="24"/>
          <w:szCs w:val="24"/>
        </w:rPr>
        <w:t>117.737.804</w:t>
      </w:r>
      <w:r w:rsidRPr="00241E61">
        <w:rPr>
          <w:rFonts w:ascii="Times New Roman" w:hAnsi="Times New Roman" w:cs="Times New Roman"/>
          <w:sz w:val="24"/>
          <w:szCs w:val="24"/>
        </w:rPr>
        <w:t xml:space="preserve"> eura za 202</w:t>
      </w:r>
      <w:r>
        <w:rPr>
          <w:rFonts w:ascii="Times New Roman" w:hAnsi="Times New Roman" w:cs="Times New Roman"/>
          <w:sz w:val="24"/>
          <w:szCs w:val="24"/>
        </w:rPr>
        <w:t>4</w:t>
      </w:r>
      <w:r w:rsidRPr="00241E61">
        <w:rPr>
          <w:rFonts w:ascii="Times New Roman" w:hAnsi="Times New Roman" w:cs="Times New Roman"/>
          <w:sz w:val="24"/>
          <w:szCs w:val="24"/>
        </w:rPr>
        <w:t xml:space="preserve">. godinu od čega najviše kroz </w:t>
      </w:r>
      <w:r w:rsidRPr="00241E61">
        <w:rPr>
          <w:rFonts w:ascii="Times New Roman" w:hAnsi="Times New Roman" w:cs="Times New Roman"/>
          <w:i/>
          <w:sz w:val="24"/>
          <w:szCs w:val="24"/>
        </w:rPr>
        <w:t>izvor financiranja 43 Ostali prihodi za posebne namjene</w:t>
      </w:r>
      <w:r w:rsidRPr="00241E61">
        <w:rPr>
          <w:rFonts w:ascii="Times New Roman" w:hAnsi="Times New Roman" w:cs="Times New Roman"/>
          <w:sz w:val="24"/>
          <w:szCs w:val="24"/>
        </w:rPr>
        <w:t>. Za 202</w:t>
      </w:r>
      <w:r>
        <w:rPr>
          <w:rFonts w:ascii="Times New Roman" w:hAnsi="Times New Roman" w:cs="Times New Roman"/>
          <w:sz w:val="24"/>
          <w:szCs w:val="24"/>
        </w:rPr>
        <w:t>5</w:t>
      </w:r>
      <w:r w:rsidRPr="00241E61">
        <w:rPr>
          <w:rFonts w:ascii="Times New Roman" w:hAnsi="Times New Roman" w:cs="Times New Roman"/>
          <w:sz w:val="24"/>
          <w:szCs w:val="24"/>
        </w:rPr>
        <w:t xml:space="preserve">. godinu planiran je iznos od </w:t>
      </w:r>
      <w:r>
        <w:rPr>
          <w:rFonts w:ascii="Times New Roman" w:hAnsi="Times New Roman" w:cs="Times New Roman"/>
          <w:sz w:val="24"/>
          <w:szCs w:val="24"/>
        </w:rPr>
        <w:t>13</w:t>
      </w:r>
      <w:r w:rsidR="00E615DA">
        <w:rPr>
          <w:rFonts w:ascii="Times New Roman" w:hAnsi="Times New Roman" w:cs="Times New Roman"/>
          <w:sz w:val="24"/>
          <w:szCs w:val="24"/>
        </w:rPr>
        <w:t>5</w:t>
      </w:r>
      <w:r>
        <w:rPr>
          <w:rFonts w:ascii="Times New Roman" w:hAnsi="Times New Roman" w:cs="Times New Roman"/>
          <w:sz w:val="24"/>
          <w:szCs w:val="24"/>
        </w:rPr>
        <w:t>.</w:t>
      </w:r>
      <w:r w:rsidR="00E615DA">
        <w:rPr>
          <w:rFonts w:ascii="Times New Roman" w:hAnsi="Times New Roman" w:cs="Times New Roman"/>
          <w:sz w:val="24"/>
          <w:szCs w:val="24"/>
        </w:rPr>
        <w:t>388</w:t>
      </w:r>
      <w:r>
        <w:rPr>
          <w:rFonts w:ascii="Times New Roman" w:hAnsi="Times New Roman" w:cs="Times New Roman"/>
          <w:sz w:val="24"/>
          <w:szCs w:val="24"/>
        </w:rPr>
        <w:t>.</w:t>
      </w:r>
      <w:r w:rsidR="00E615DA">
        <w:rPr>
          <w:rFonts w:ascii="Times New Roman" w:hAnsi="Times New Roman" w:cs="Times New Roman"/>
          <w:sz w:val="24"/>
          <w:szCs w:val="24"/>
        </w:rPr>
        <w:t>067</w:t>
      </w:r>
      <w:r w:rsidRPr="00241E61">
        <w:rPr>
          <w:rFonts w:ascii="Times New Roman" w:hAnsi="Times New Roman" w:cs="Times New Roman"/>
          <w:sz w:val="24"/>
          <w:szCs w:val="24"/>
        </w:rPr>
        <w:t xml:space="preserve"> eur</w:t>
      </w:r>
      <w:r w:rsidR="00E615DA">
        <w:rPr>
          <w:rFonts w:ascii="Times New Roman" w:hAnsi="Times New Roman" w:cs="Times New Roman"/>
          <w:sz w:val="24"/>
          <w:szCs w:val="24"/>
        </w:rPr>
        <w:t>a</w:t>
      </w:r>
      <w:r w:rsidRPr="00241E61">
        <w:rPr>
          <w:rFonts w:ascii="Times New Roman" w:hAnsi="Times New Roman" w:cs="Times New Roman"/>
          <w:sz w:val="24"/>
          <w:szCs w:val="24"/>
        </w:rPr>
        <w:t>, te za 202</w:t>
      </w:r>
      <w:r>
        <w:rPr>
          <w:rFonts w:ascii="Times New Roman" w:hAnsi="Times New Roman" w:cs="Times New Roman"/>
          <w:sz w:val="24"/>
          <w:szCs w:val="24"/>
        </w:rPr>
        <w:t xml:space="preserve">6. godinu </w:t>
      </w:r>
      <w:r w:rsidRPr="00241E61">
        <w:rPr>
          <w:rFonts w:ascii="Times New Roman" w:hAnsi="Times New Roman" w:cs="Times New Roman"/>
          <w:sz w:val="24"/>
          <w:szCs w:val="24"/>
        </w:rPr>
        <w:t>iznos</w:t>
      </w:r>
      <w:r>
        <w:rPr>
          <w:rFonts w:ascii="Times New Roman" w:hAnsi="Times New Roman" w:cs="Times New Roman"/>
          <w:sz w:val="24"/>
          <w:szCs w:val="24"/>
        </w:rPr>
        <w:t xml:space="preserve"> od 15</w:t>
      </w:r>
      <w:r w:rsidR="00E615DA">
        <w:rPr>
          <w:rFonts w:ascii="Times New Roman" w:hAnsi="Times New Roman" w:cs="Times New Roman"/>
          <w:sz w:val="24"/>
          <w:szCs w:val="24"/>
        </w:rPr>
        <w:t>4</w:t>
      </w:r>
      <w:r>
        <w:rPr>
          <w:rFonts w:ascii="Times New Roman" w:hAnsi="Times New Roman" w:cs="Times New Roman"/>
          <w:sz w:val="24"/>
          <w:szCs w:val="24"/>
        </w:rPr>
        <w:t>.</w:t>
      </w:r>
      <w:r w:rsidR="00E615DA">
        <w:rPr>
          <w:rFonts w:ascii="Times New Roman" w:hAnsi="Times New Roman" w:cs="Times New Roman"/>
          <w:sz w:val="24"/>
          <w:szCs w:val="24"/>
        </w:rPr>
        <w:t>431</w:t>
      </w:r>
      <w:r>
        <w:rPr>
          <w:rFonts w:ascii="Times New Roman" w:hAnsi="Times New Roman" w:cs="Times New Roman"/>
          <w:sz w:val="24"/>
          <w:szCs w:val="24"/>
        </w:rPr>
        <w:t>.4</w:t>
      </w:r>
      <w:r w:rsidR="00E615DA">
        <w:rPr>
          <w:rFonts w:ascii="Times New Roman" w:hAnsi="Times New Roman" w:cs="Times New Roman"/>
          <w:sz w:val="24"/>
          <w:szCs w:val="24"/>
        </w:rPr>
        <w:t>48</w:t>
      </w:r>
      <w:r>
        <w:rPr>
          <w:rFonts w:ascii="Times New Roman" w:hAnsi="Times New Roman" w:cs="Times New Roman"/>
          <w:sz w:val="24"/>
          <w:szCs w:val="24"/>
        </w:rPr>
        <w:t xml:space="preserve"> eura.</w:t>
      </w:r>
      <w:r w:rsidRPr="00241E61">
        <w:rPr>
          <w:rFonts w:ascii="Times New Roman" w:hAnsi="Times New Roman" w:cs="Times New Roman"/>
          <w:sz w:val="24"/>
          <w:szCs w:val="24"/>
        </w:rPr>
        <w:t xml:space="preserve"> Ovi su rashodi direktno usmjereni na liječenje bolesnika, te najvećim dijelom obuhvaćaju nabavu lijekova, potrošnog medicinskog materijala, krvi i krvnih derivata, kao i tekuće i investicijsko održavanje medicinske opreme, komunalne usluge i </w:t>
      </w:r>
      <w:r>
        <w:rPr>
          <w:rFonts w:ascii="Times New Roman" w:hAnsi="Times New Roman" w:cs="Times New Roman"/>
          <w:sz w:val="24"/>
          <w:szCs w:val="24"/>
        </w:rPr>
        <w:t>slično</w:t>
      </w:r>
      <w:r w:rsidR="00E615DA">
        <w:rPr>
          <w:rFonts w:ascii="Times New Roman" w:hAnsi="Times New Roman" w:cs="Times New Roman"/>
          <w:sz w:val="24"/>
          <w:szCs w:val="24"/>
        </w:rPr>
        <w:t>.</w:t>
      </w:r>
    </w:p>
    <w:p w:rsidR="00194E15" w:rsidRDefault="00194E15" w:rsidP="00194E15">
      <w:pPr>
        <w:spacing w:before="120" w:line="240" w:lineRule="auto"/>
        <w:ind w:firstLine="708"/>
        <w:jc w:val="both"/>
        <w:rPr>
          <w:rFonts w:ascii="Times New Roman" w:hAnsi="Times New Roman" w:cs="Times New Roman"/>
          <w:sz w:val="24"/>
          <w:szCs w:val="24"/>
        </w:rPr>
      </w:pPr>
      <w:r w:rsidRPr="00241E61">
        <w:rPr>
          <w:rFonts w:ascii="Times New Roman" w:hAnsi="Times New Roman" w:cs="Times New Roman"/>
          <w:sz w:val="24"/>
          <w:szCs w:val="24"/>
        </w:rPr>
        <w:t xml:space="preserve">U rashodima razreda 4 Rashodi za nabavu nefinancijske imovine </w:t>
      </w:r>
      <w:r w:rsidRPr="00241E61">
        <w:rPr>
          <w:rFonts w:ascii="Times New Roman" w:hAnsi="Times New Roman" w:cs="Times New Roman"/>
          <w:b/>
          <w:sz w:val="24"/>
          <w:szCs w:val="24"/>
        </w:rPr>
        <w:t>na skupini konta 45</w:t>
      </w:r>
      <w:r w:rsidRPr="00241E61">
        <w:rPr>
          <w:rFonts w:ascii="Times New Roman" w:hAnsi="Times New Roman" w:cs="Times New Roman"/>
          <w:sz w:val="24"/>
          <w:szCs w:val="24"/>
        </w:rPr>
        <w:t xml:space="preserve"> Rashodi za dodatna ulaganja na nefinancijskoj imovini planiran je iznos za 202</w:t>
      </w:r>
      <w:r>
        <w:rPr>
          <w:rFonts w:ascii="Times New Roman" w:hAnsi="Times New Roman" w:cs="Times New Roman"/>
          <w:sz w:val="24"/>
          <w:szCs w:val="24"/>
        </w:rPr>
        <w:t>4</w:t>
      </w:r>
      <w:r w:rsidRPr="00241E61">
        <w:rPr>
          <w:rFonts w:ascii="Times New Roman" w:hAnsi="Times New Roman" w:cs="Times New Roman"/>
          <w:sz w:val="24"/>
          <w:szCs w:val="24"/>
        </w:rPr>
        <w:t xml:space="preserve">. godinu od </w:t>
      </w:r>
      <w:r>
        <w:rPr>
          <w:rFonts w:ascii="Times New Roman" w:hAnsi="Times New Roman" w:cs="Times New Roman"/>
          <w:sz w:val="24"/>
          <w:szCs w:val="24"/>
        </w:rPr>
        <w:t>26.709.396</w:t>
      </w:r>
      <w:r w:rsidRPr="00241E61">
        <w:rPr>
          <w:rFonts w:ascii="Times New Roman" w:hAnsi="Times New Roman" w:cs="Times New Roman"/>
          <w:sz w:val="24"/>
          <w:szCs w:val="24"/>
        </w:rPr>
        <w:t xml:space="preserve"> eura što je najvećim dijelom vezano za sanaciju štete od potresa. Projekcija za 202</w:t>
      </w:r>
      <w:r>
        <w:rPr>
          <w:rFonts w:ascii="Times New Roman" w:hAnsi="Times New Roman" w:cs="Times New Roman"/>
          <w:sz w:val="24"/>
          <w:szCs w:val="24"/>
        </w:rPr>
        <w:t>5</w:t>
      </w:r>
      <w:r w:rsidRPr="00241E61">
        <w:rPr>
          <w:rFonts w:ascii="Times New Roman" w:hAnsi="Times New Roman" w:cs="Times New Roman"/>
          <w:sz w:val="24"/>
          <w:szCs w:val="24"/>
        </w:rPr>
        <w:t xml:space="preserve">. godinu iznosi </w:t>
      </w:r>
      <w:r>
        <w:rPr>
          <w:rFonts w:ascii="Times New Roman" w:hAnsi="Times New Roman" w:cs="Times New Roman"/>
          <w:sz w:val="24"/>
          <w:szCs w:val="24"/>
        </w:rPr>
        <w:t>6.435.308</w:t>
      </w:r>
      <w:r w:rsidRPr="00241E61">
        <w:rPr>
          <w:rFonts w:ascii="Times New Roman" w:hAnsi="Times New Roman" w:cs="Times New Roman"/>
          <w:sz w:val="24"/>
          <w:szCs w:val="24"/>
        </w:rPr>
        <w:t xml:space="preserve"> eura</w:t>
      </w:r>
      <w:r>
        <w:rPr>
          <w:rFonts w:ascii="Times New Roman" w:hAnsi="Times New Roman" w:cs="Times New Roman"/>
          <w:sz w:val="24"/>
          <w:szCs w:val="24"/>
        </w:rPr>
        <w:t xml:space="preserve"> dok je za 2026. godinu predviđeno 2.288.493 eura.</w:t>
      </w:r>
    </w:p>
    <w:p w:rsidR="009E024C" w:rsidRPr="00B72343" w:rsidRDefault="009E024C" w:rsidP="009E024C">
      <w:pPr>
        <w:spacing w:before="120" w:line="240" w:lineRule="auto"/>
        <w:jc w:val="both"/>
        <w:rPr>
          <w:rFonts w:ascii="Times New Roman" w:hAnsi="Times New Roman" w:cs="Times New Roman"/>
          <w:b/>
          <w:sz w:val="24"/>
          <w:szCs w:val="24"/>
        </w:rPr>
      </w:pPr>
      <w:r w:rsidRPr="00B72343">
        <w:rPr>
          <w:rFonts w:ascii="Times New Roman" w:hAnsi="Times New Roman" w:cs="Times New Roman"/>
          <w:b/>
          <w:sz w:val="24"/>
          <w:szCs w:val="24"/>
        </w:rPr>
        <w:lastRenderedPageBreak/>
        <w:t>PRIJENOS SREDSTAVA IZ PRETHODNE I U SL</w:t>
      </w:r>
      <w:r w:rsidR="00C4277B">
        <w:rPr>
          <w:rFonts w:ascii="Times New Roman" w:hAnsi="Times New Roman" w:cs="Times New Roman"/>
          <w:b/>
          <w:sz w:val="24"/>
          <w:szCs w:val="24"/>
        </w:rPr>
        <w:t>I</w:t>
      </w:r>
      <w:r w:rsidRPr="00B72343">
        <w:rPr>
          <w:rFonts w:ascii="Times New Roman" w:hAnsi="Times New Roman" w:cs="Times New Roman"/>
          <w:b/>
          <w:sz w:val="24"/>
          <w:szCs w:val="24"/>
        </w:rPr>
        <w:t>JEDEĆU GODINU</w:t>
      </w:r>
    </w:p>
    <w:p w:rsidR="009E024C" w:rsidRPr="00241E61" w:rsidRDefault="009E024C" w:rsidP="009E024C">
      <w:pPr>
        <w:spacing w:before="120" w:line="240" w:lineRule="auto"/>
        <w:jc w:val="both"/>
        <w:rPr>
          <w:rFonts w:ascii="Times New Roman" w:hAnsi="Times New Roman" w:cs="Times New Roman"/>
          <w:sz w:val="24"/>
          <w:szCs w:val="24"/>
        </w:rPr>
      </w:pPr>
      <w:r w:rsidRPr="00241E61">
        <w:rPr>
          <w:rFonts w:ascii="Times New Roman" w:hAnsi="Times New Roman" w:cs="Times New Roman"/>
          <w:b/>
          <w:sz w:val="24"/>
          <w:szCs w:val="24"/>
        </w:rPr>
        <w:tab/>
      </w:r>
      <w:r w:rsidRPr="00241E61">
        <w:rPr>
          <w:rFonts w:ascii="Times New Roman" w:hAnsi="Times New Roman" w:cs="Times New Roman"/>
          <w:sz w:val="24"/>
          <w:szCs w:val="24"/>
        </w:rPr>
        <w:t>Razlika između ukupnih prihoda</w:t>
      </w:r>
      <w:r w:rsidR="00AC4339">
        <w:rPr>
          <w:rFonts w:ascii="Times New Roman" w:hAnsi="Times New Roman" w:cs="Times New Roman"/>
          <w:sz w:val="24"/>
          <w:szCs w:val="24"/>
        </w:rPr>
        <w:t xml:space="preserve"> i primitaka</w:t>
      </w:r>
      <w:r w:rsidRPr="00241E61">
        <w:rPr>
          <w:rFonts w:ascii="Times New Roman" w:hAnsi="Times New Roman" w:cs="Times New Roman"/>
          <w:sz w:val="24"/>
          <w:szCs w:val="24"/>
        </w:rPr>
        <w:t xml:space="preserve"> i ukupnih rashoda je </w:t>
      </w:r>
      <w:r>
        <w:rPr>
          <w:rFonts w:ascii="Times New Roman" w:hAnsi="Times New Roman" w:cs="Times New Roman"/>
          <w:sz w:val="24"/>
          <w:szCs w:val="24"/>
        </w:rPr>
        <w:t>19.195</w:t>
      </w:r>
      <w:r w:rsidRPr="00241E61">
        <w:rPr>
          <w:rFonts w:ascii="Times New Roman" w:hAnsi="Times New Roman" w:cs="Times New Roman"/>
          <w:sz w:val="24"/>
          <w:szCs w:val="24"/>
        </w:rPr>
        <w:t xml:space="preserve"> eura</w:t>
      </w:r>
      <w:r>
        <w:rPr>
          <w:rFonts w:ascii="Times New Roman" w:hAnsi="Times New Roman" w:cs="Times New Roman"/>
          <w:sz w:val="24"/>
          <w:szCs w:val="24"/>
        </w:rPr>
        <w:t xml:space="preserve"> za 2024. godinu</w:t>
      </w:r>
      <w:r w:rsidRPr="00241E61">
        <w:rPr>
          <w:rFonts w:ascii="Times New Roman" w:hAnsi="Times New Roman" w:cs="Times New Roman"/>
          <w:sz w:val="24"/>
          <w:szCs w:val="24"/>
        </w:rPr>
        <w:t xml:space="preserve">, te se financijski plan uravnotežuje prenesenim sredstvima iz prethodne godine koji iznosi </w:t>
      </w:r>
      <w:r>
        <w:rPr>
          <w:rFonts w:ascii="Times New Roman" w:hAnsi="Times New Roman" w:cs="Times New Roman"/>
          <w:sz w:val="24"/>
          <w:szCs w:val="24"/>
        </w:rPr>
        <w:t>1.</w:t>
      </w:r>
      <w:r w:rsidR="00AC4339">
        <w:rPr>
          <w:rFonts w:ascii="Times New Roman" w:hAnsi="Times New Roman" w:cs="Times New Roman"/>
          <w:sz w:val="24"/>
          <w:szCs w:val="24"/>
        </w:rPr>
        <w:t>529.399</w:t>
      </w:r>
      <w:r w:rsidRPr="00241E61">
        <w:rPr>
          <w:rFonts w:ascii="Times New Roman" w:hAnsi="Times New Roman" w:cs="Times New Roman"/>
          <w:sz w:val="24"/>
          <w:szCs w:val="24"/>
        </w:rPr>
        <w:t xml:space="preserve"> eura, te planiranim prijenosom sredstava u iduću godinu u iznosu od </w:t>
      </w:r>
      <w:r>
        <w:rPr>
          <w:rFonts w:ascii="Times New Roman" w:hAnsi="Times New Roman" w:cs="Times New Roman"/>
          <w:sz w:val="24"/>
          <w:szCs w:val="24"/>
        </w:rPr>
        <w:t>1.</w:t>
      </w:r>
      <w:r w:rsidR="00AC4339">
        <w:rPr>
          <w:rFonts w:ascii="Times New Roman" w:hAnsi="Times New Roman" w:cs="Times New Roman"/>
          <w:sz w:val="24"/>
          <w:szCs w:val="24"/>
        </w:rPr>
        <w:t xml:space="preserve">548.594 </w:t>
      </w:r>
      <w:r w:rsidRPr="00241E61">
        <w:rPr>
          <w:rFonts w:ascii="Times New Roman" w:hAnsi="Times New Roman" w:cs="Times New Roman"/>
          <w:sz w:val="24"/>
          <w:szCs w:val="24"/>
        </w:rPr>
        <w:t>eura.</w:t>
      </w:r>
    </w:p>
    <w:p w:rsidR="009E024C" w:rsidRPr="00241E61" w:rsidRDefault="009E024C" w:rsidP="009E024C">
      <w:pPr>
        <w:spacing w:before="120" w:line="240" w:lineRule="auto"/>
        <w:jc w:val="both"/>
        <w:rPr>
          <w:rFonts w:ascii="Times New Roman" w:hAnsi="Times New Roman" w:cs="Times New Roman"/>
          <w:sz w:val="24"/>
          <w:szCs w:val="24"/>
        </w:rPr>
      </w:pPr>
      <w:r w:rsidRPr="00241E61">
        <w:rPr>
          <w:rFonts w:ascii="Times New Roman" w:hAnsi="Times New Roman" w:cs="Times New Roman"/>
          <w:sz w:val="24"/>
          <w:szCs w:val="24"/>
        </w:rPr>
        <w:tab/>
        <w:t>U 202</w:t>
      </w:r>
      <w:r>
        <w:rPr>
          <w:rFonts w:ascii="Times New Roman" w:hAnsi="Times New Roman" w:cs="Times New Roman"/>
          <w:sz w:val="24"/>
          <w:szCs w:val="24"/>
        </w:rPr>
        <w:t>3</w:t>
      </w:r>
      <w:r w:rsidRPr="00241E61">
        <w:rPr>
          <w:rFonts w:ascii="Times New Roman" w:hAnsi="Times New Roman" w:cs="Times New Roman"/>
          <w:sz w:val="24"/>
          <w:szCs w:val="24"/>
        </w:rPr>
        <w:t>. godini na vlastitim prihodima (</w:t>
      </w:r>
      <w:r w:rsidR="00DC5F20">
        <w:rPr>
          <w:rFonts w:ascii="Times New Roman" w:hAnsi="Times New Roman" w:cs="Times New Roman"/>
          <w:sz w:val="24"/>
          <w:szCs w:val="24"/>
        </w:rPr>
        <w:t>izvor financiranja</w:t>
      </w:r>
      <w:r w:rsidRPr="00241E61">
        <w:rPr>
          <w:rFonts w:ascii="Times New Roman" w:hAnsi="Times New Roman" w:cs="Times New Roman"/>
          <w:sz w:val="24"/>
          <w:szCs w:val="24"/>
        </w:rPr>
        <w:t xml:space="preserve"> 31) </w:t>
      </w:r>
      <w:r>
        <w:rPr>
          <w:rFonts w:ascii="Times New Roman" w:hAnsi="Times New Roman" w:cs="Times New Roman"/>
          <w:sz w:val="24"/>
          <w:szCs w:val="24"/>
        </w:rPr>
        <w:t>planiran je</w:t>
      </w:r>
      <w:r w:rsidRPr="00241E61">
        <w:rPr>
          <w:rFonts w:ascii="Times New Roman" w:hAnsi="Times New Roman" w:cs="Times New Roman"/>
          <w:sz w:val="24"/>
          <w:szCs w:val="24"/>
        </w:rPr>
        <w:t xml:space="preserve"> neutrošen iznos od </w:t>
      </w:r>
      <w:r w:rsidR="00AC4339">
        <w:rPr>
          <w:rFonts w:ascii="Times New Roman" w:hAnsi="Times New Roman" w:cs="Times New Roman"/>
          <w:sz w:val="24"/>
          <w:szCs w:val="24"/>
        </w:rPr>
        <w:t>344</w:t>
      </w:r>
      <w:r>
        <w:rPr>
          <w:rFonts w:ascii="Times New Roman" w:hAnsi="Times New Roman" w:cs="Times New Roman"/>
          <w:sz w:val="24"/>
          <w:szCs w:val="24"/>
        </w:rPr>
        <w:t>.</w:t>
      </w:r>
      <w:r w:rsidR="00AC4339">
        <w:rPr>
          <w:rFonts w:ascii="Times New Roman" w:hAnsi="Times New Roman" w:cs="Times New Roman"/>
          <w:sz w:val="24"/>
          <w:szCs w:val="24"/>
        </w:rPr>
        <w:t>143</w:t>
      </w:r>
      <w:r w:rsidRPr="00241E61">
        <w:rPr>
          <w:rFonts w:ascii="Times New Roman" w:hAnsi="Times New Roman" w:cs="Times New Roman"/>
          <w:sz w:val="24"/>
          <w:szCs w:val="24"/>
        </w:rPr>
        <w:t xml:space="preserve"> eura </w:t>
      </w:r>
      <w:r>
        <w:rPr>
          <w:rFonts w:ascii="Times New Roman" w:hAnsi="Times New Roman" w:cs="Times New Roman"/>
          <w:sz w:val="24"/>
          <w:szCs w:val="24"/>
        </w:rPr>
        <w:t xml:space="preserve">radi neisplaćenih honorara za klinička ispitivanja koja se planiraju realizirati početkom 2024. godine. </w:t>
      </w:r>
      <w:r w:rsidRPr="00241E61">
        <w:rPr>
          <w:rFonts w:ascii="Times New Roman" w:hAnsi="Times New Roman" w:cs="Times New Roman"/>
          <w:sz w:val="24"/>
          <w:szCs w:val="24"/>
        </w:rPr>
        <w:t xml:space="preserve">Također očekujemo da će i krajem </w:t>
      </w:r>
      <w:r>
        <w:rPr>
          <w:rFonts w:ascii="Times New Roman" w:hAnsi="Times New Roman" w:cs="Times New Roman"/>
          <w:sz w:val="24"/>
          <w:szCs w:val="24"/>
        </w:rPr>
        <w:t xml:space="preserve">2024. </w:t>
      </w:r>
      <w:r w:rsidRPr="00241E61">
        <w:rPr>
          <w:rFonts w:ascii="Times New Roman" w:hAnsi="Times New Roman" w:cs="Times New Roman"/>
          <w:sz w:val="24"/>
          <w:szCs w:val="24"/>
        </w:rPr>
        <w:t xml:space="preserve">godine na istom izvoru ostati </w:t>
      </w:r>
      <w:r>
        <w:rPr>
          <w:rFonts w:ascii="Times New Roman" w:hAnsi="Times New Roman" w:cs="Times New Roman"/>
          <w:sz w:val="24"/>
          <w:szCs w:val="24"/>
        </w:rPr>
        <w:t xml:space="preserve">iznos od </w:t>
      </w:r>
      <w:r w:rsidR="00AC4339">
        <w:rPr>
          <w:rFonts w:ascii="Times New Roman" w:hAnsi="Times New Roman" w:cs="Times New Roman"/>
          <w:sz w:val="24"/>
          <w:szCs w:val="24"/>
        </w:rPr>
        <w:t>325</w:t>
      </w:r>
      <w:r w:rsidRPr="00241E61">
        <w:rPr>
          <w:rFonts w:ascii="Times New Roman" w:hAnsi="Times New Roman" w:cs="Times New Roman"/>
          <w:sz w:val="24"/>
          <w:szCs w:val="24"/>
        </w:rPr>
        <w:t>.</w:t>
      </w:r>
      <w:r w:rsidR="00AC4339">
        <w:rPr>
          <w:rFonts w:ascii="Times New Roman" w:hAnsi="Times New Roman" w:cs="Times New Roman"/>
          <w:sz w:val="24"/>
          <w:szCs w:val="24"/>
        </w:rPr>
        <w:t>545</w:t>
      </w:r>
      <w:r w:rsidRPr="00241E61">
        <w:rPr>
          <w:rFonts w:ascii="Times New Roman" w:hAnsi="Times New Roman" w:cs="Times New Roman"/>
          <w:sz w:val="24"/>
          <w:szCs w:val="24"/>
        </w:rPr>
        <w:t xml:space="preserve"> eura koje ćemo prenijeti u narednu godinu, kao i iznos od </w:t>
      </w:r>
      <w:r w:rsidR="00AC4339">
        <w:rPr>
          <w:rFonts w:ascii="Times New Roman" w:hAnsi="Times New Roman" w:cs="Times New Roman"/>
          <w:sz w:val="24"/>
          <w:szCs w:val="24"/>
        </w:rPr>
        <w:t>317.983</w:t>
      </w:r>
      <w:r w:rsidRPr="00241E61">
        <w:rPr>
          <w:rFonts w:ascii="Times New Roman" w:hAnsi="Times New Roman" w:cs="Times New Roman"/>
          <w:sz w:val="24"/>
          <w:szCs w:val="24"/>
        </w:rPr>
        <w:t xml:space="preserve"> eura koji će ostati za prijenos u 202</w:t>
      </w:r>
      <w:r>
        <w:rPr>
          <w:rFonts w:ascii="Times New Roman" w:hAnsi="Times New Roman" w:cs="Times New Roman"/>
          <w:sz w:val="24"/>
          <w:szCs w:val="24"/>
        </w:rPr>
        <w:t>6</w:t>
      </w:r>
      <w:r w:rsidRPr="00241E61">
        <w:rPr>
          <w:rFonts w:ascii="Times New Roman" w:hAnsi="Times New Roman" w:cs="Times New Roman"/>
          <w:sz w:val="24"/>
          <w:szCs w:val="24"/>
        </w:rPr>
        <w:t>. godinu, a na kraju 202</w:t>
      </w:r>
      <w:r>
        <w:rPr>
          <w:rFonts w:ascii="Times New Roman" w:hAnsi="Times New Roman" w:cs="Times New Roman"/>
          <w:sz w:val="24"/>
          <w:szCs w:val="24"/>
        </w:rPr>
        <w:t>6</w:t>
      </w:r>
      <w:r w:rsidRPr="00241E61">
        <w:rPr>
          <w:rFonts w:ascii="Times New Roman" w:hAnsi="Times New Roman" w:cs="Times New Roman"/>
          <w:sz w:val="24"/>
          <w:szCs w:val="24"/>
        </w:rPr>
        <w:t xml:space="preserve">. godine će planirano ostati </w:t>
      </w:r>
      <w:r w:rsidR="00AC4339">
        <w:rPr>
          <w:rFonts w:ascii="Times New Roman" w:hAnsi="Times New Roman" w:cs="Times New Roman"/>
          <w:sz w:val="24"/>
          <w:szCs w:val="24"/>
        </w:rPr>
        <w:t>370.867</w:t>
      </w:r>
      <w:r>
        <w:rPr>
          <w:rFonts w:ascii="Times New Roman" w:hAnsi="Times New Roman" w:cs="Times New Roman"/>
          <w:sz w:val="24"/>
          <w:szCs w:val="24"/>
        </w:rPr>
        <w:t xml:space="preserve"> eura.</w:t>
      </w:r>
    </w:p>
    <w:p w:rsidR="009E024C" w:rsidRPr="00241E61" w:rsidRDefault="009E024C" w:rsidP="009E024C">
      <w:pPr>
        <w:spacing w:before="120" w:line="240" w:lineRule="auto"/>
        <w:jc w:val="both"/>
        <w:rPr>
          <w:rFonts w:ascii="Times New Roman" w:hAnsi="Times New Roman" w:cs="Times New Roman"/>
          <w:sz w:val="24"/>
          <w:szCs w:val="24"/>
        </w:rPr>
      </w:pPr>
      <w:r w:rsidRPr="00241E61">
        <w:rPr>
          <w:rFonts w:ascii="Times New Roman" w:hAnsi="Times New Roman" w:cs="Times New Roman"/>
          <w:sz w:val="24"/>
          <w:szCs w:val="24"/>
        </w:rPr>
        <w:tab/>
        <w:t>Na prihodima za posebne namjene (</w:t>
      </w:r>
      <w:r w:rsidR="00DC5F20">
        <w:rPr>
          <w:rFonts w:ascii="Times New Roman" w:hAnsi="Times New Roman" w:cs="Times New Roman"/>
          <w:sz w:val="24"/>
          <w:szCs w:val="24"/>
        </w:rPr>
        <w:t>izvor financiranja</w:t>
      </w:r>
      <w:r w:rsidRPr="00241E61">
        <w:rPr>
          <w:rFonts w:ascii="Times New Roman" w:hAnsi="Times New Roman" w:cs="Times New Roman"/>
          <w:sz w:val="24"/>
          <w:szCs w:val="24"/>
        </w:rPr>
        <w:t xml:space="preserve"> 43) </w:t>
      </w:r>
      <w:r>
        <w:rPr>
          <w:rFonts w:ascii="Times New Roman" w:hAnsi="Times New Roman" w:cs="Times New Roman"/>
          <w:sz w:val="24"/>
          <w:szCs w:val="24"/>
        </w:rPr>
        <w:t xml:space="preserve">planiramo prenijeti u 2024. godinu </w:t>
      </w:r>
      <w:r w:rsidRPr="00241E61">
        <w:rPr>
          <w:rFonts w:ascii="Times New Roman" w:hAnsi="Times New Roman" w:cs="Times New Roman"/>
          <w:sz w:val="24"/>
          <w:szCs w:val="24"/>
        </w:rPr>
        <w:t xml:space="preserve">iznos od </w:t>
      </w:r>
      <w:r w:rsidR="00AC4339">
        <w:rPr>
          <w:rFonts w:ascii="Times New Roman" w:hAnsi="Times New Roman" w:cs="Times New Roman"/>
          <w:sz w:val="24"/>
          <w:szCs w:val="24"/>
        </w:rPr>
        <w:t>600.539</w:t>
      </w:r>
      <w:r w:rsidRPr="00241E61">
        <w:rPr>
          <w:rFonts w:ascii="Times New Roman" w:hAnsi="Times New Roman" w:cs="Times New Roman"/>
          <w:sz w:val="24"/>
          <w:szCs w:val="24"/>
        </w:rPr>
        <w:t xml:space="preserve"> eura kojim će biti plaćeni lijekovi i potrošni medicinski materijal početkom godine sukladno dospjelosti obveza</w:t>
      </w:r>
      <w:r>
        <w:rPr>
          <w:rFonts w:ascii="Times New Roman" w:hAnsi="Times New Roman" w:cs="Times New Roman"/>
          <w:sz w:val="24"/>
          <w:szCs w:val="24"/>
        </w:rPr>
        <w:t>. U 2025</w:t>
      </w:r>
      <w:r w:rsidRPr="00241E61">
        <w:rPr>
          <w:rFonts w:ascii="Times New Roman" w:hAnsi="Times New Roman" w:cs="Times New Roman"/>
          <w:sz w:val="24"/>
          <w:szCs w:val="24"/>
        </w:rPr>
        <w:t xml:space="preserve">. </w:t>
      </w:r>
      <w:r>
        <w:rPr>
          <w:rFonts w:ascii="Times New Roman" w:hAnsi="Times New Roman" w:cs="Times New Roman"/>
          <w:sz w:val="24"/>
          <w:szCs w:val="24"/>
        </w:rPr>
        <w:t xml:space="preserve">i 2026. </w:t>
      </w:r>
      <w:r w:rsidRPr="00241E61">
        <w:rPr>
          <w:rFonts w:ascii="Times New Roman" w:hAnsi="Times New Roman" w:cs="Times New Roman"/>
          <w:sz w:val="24"/>
          <w:szCs w:val="24"/>
        </w:rPr>
        <w:t xml:space="preserve">godinu </w:t>
      </w:r>
      <w:r>
        <w:rPr>
          <w:rFonts w:ascii="Times New Roman" w:hAnsi="Times New Roman" w:cs="Times New Roman"/>
          <w:sz w:val="24"/>
          <w:szCs w:val="24"/>
        </w:rPr>
        <w:t xml:space="preserve">planiramo </w:t>
      </w:r>
      <w:r w:rsidRPr="00241E61">
        <w:rPr>
          <w:rFonts w:ascii="Times New Roman" w:hAnsi="Times New Roman" w:cs="Times New Roman"/>
          <w:sz w:val="24"/>
          <w:szCs w:val="24"/>
        </w:rPr>
        <w:t>prenijet</w:t>
      </w:r>
      <w:r>
        <w:rPr>
          <w:rFonts w:ascii="Times New Roman" w:hAnsi="Times New Roman" w:cs="Times New Roman"/>
          <w:sz w:val="24"/>
          <w:szCs w:val="24"/>
        </w:rPr>
        <w:t>i</w:t>
      </w:r>
      <w:r w:rsidRPr="00241E61">
        <w:rPr>
          <w:rFonts w:ascii="Times New Roman" w:hAnsi="Times New Roman" w:cs="Times New Roman"/>
          <w:sz w:val="24"/>
          <w:szCs w:val="24"/>
        </w:rPr>
        <w:t xml:space="preserve"> </w:t>
      </w:r>
      <w:r>
        <w:rPr>
          <w:rFonts w:ascii="Times New Roman" w:hAnsi="Times New Roman" w:cs="Times New Roman"/>
          <w:sz w:val="24"/>
          <w:szCs w:val="24"/>
        </w:rPr>
        <w:t>isti iznos.</w:t>
      </w:r>
    </w:p>
    <w:p w:rsidR="009E024C" w:rsidRPr="00241E61" w:rsidRDefault="009E024C" w:rsidP="009E024C">
      <w:pPr>
        <w:spacing w:before="120" w:line="240" w:lineRule="auto"/>
        <w:jc w:val="both"/>
        <w:rPr>
          <w:rFonts w:ascii="Times New Roman" w:hAnsi="Times New Roman" w:cs="Times New Roman"/>
          <w:sz w:val="24"/>
          <w:szCs w:val="24"/>
        </w:rPr>
      </w:pPr>
      <w:r w:rsidRPr="00241E61">
        <w:rPr>
          <w:rFonts w:ascii="Times New Roman" w:hAnsi="Times New Roman" w:cs="Times New Roman"/>
          <w:sz w:val="24"/>
          <w:szCs w:val="24"/>
        </w:rPr>
        <w:tab/>
        <w:t xml:space="preserve">Na prihodima </w:t>
      </w:r>
      <w:r w:rsidR="00DC5F20">
        <w:rPr>
          <w:rFonts w:ascii="Times New Roman" w:hAnsi="Times New Roman" w:cs="Times New Roman"/>
          <w:sz w:val="24"/>
          <w:szCs w:val="24"/>
        </w:rPr>
        <w:t>izvora financiranja</w:t>
      </w:r>
      <w:r w:rsidRPr="00241E61">
        <w:rPr>
          <w:rFonts w:ascii="Times New Roman" w:hAnsi="Times New Roman" w:cs="Times New Roman"/>
          <w:sz w:val="24"/>
          <w:szCs w:val="24"/>
        </w:rPr>
        <w:t xml:space="preserve"> 52 (Ostale pomoći) iz 202</w:t>
      </w:r>
      <w:r>
        <w:rPr>
          <w:rFonts w:ascii="Times New Roman" w:hAnsi="Times New Roman" w:cs="Times New Roman"/>
          <w:sz w:val="24"/>
          <w:szCs w:val="24"/>
        </w:rPr>
        <w:t>3</w:t>
      </w:r>
      <w:r w:rsidRPr="00241E61">
        <w:rPr>
          <w:rFonts w:ascii="Times New Roman" w:hAnsi="Times New Roman" w:cs="Times New Roman"/>
          <w:sz w:val="24"/>
          <w:szCs w:val="24"/>
        </w:rPr>
        <w:t xml:space="preserve">. godine </w:t>
      </w:r>
      <w:r>
        <w:rPr>
          <w:rFonts w:ascii="Times New Roman" w:hAnsi="Times New Roman" w:cs="Times New Roman"/>
          <w:sz w:val="24"/>
          <w:szCs w:val="24"/>
        </w:rPr>
        <w:t>planiramo pren</w:t>
      </w:r>
      <w:r w:rsidRPr="00241E61">
        <w:rPr>
          <w:rFonts w:ascii="Times New Roman" w:hAnsi="Times New Roman" w:cs="Times New Roman"/>
          <w:sz w:val="24"/>
          <w:szCs w:val="24"/>
        </w:rPr>
        <w:t>i</w:t>
      </w:r>
      <w:r>
        <w:rPr>
          <w:rFonts w:ascii="Times New Roman" w:hAnsi="Times New Roman" w:cs="Times New Roman"/>
          <w:sz w:val="24"/>
          <w:szCs w:val="24"/>
        </w:rPr>
        <w:t>jeti</w:t>
      </w:r>
      <w:r w:rsidRPr="00241E61">
        <w:rPr>
          <w:rFonts w:ascii="Times New Roman" w:hAnsi="Times New Roman" w:cs="Times New Roman"/>
          <w:sz w:val="24"/>
          <w:szCs w:val="24"/>
        </w:rPr>
        <w:t xml:space="preserve"> iznos od </w:t>
      </w:r>
      <w:r>
        <w:rPr>
          <w:rFonts w:ascii="Times New Roman" w:hAnsi="Times New Roman" w:cs="Times New Roman"/>
          <w:sz w:val="24"/>
          <w:szCs w:val="24"/>
        </w:rPr>
        <w:t>27.976 eura koji će</w:t>
      </w:r>
      <w:r w:rsidRPr="00241E61">
        <w:rPr>
          <w:rFonts w:ascii="Times New Roman" w:hAnsi="Times New Roman" w:cs="Times New Roman"/>
          <w:sz w:val="24"/>
          <w:szCs w:val="24"/>
        </w:rPr>
        <w:t xml:space="preserve"> osta</w:t>
      </w:r>
      <w:r>
        <w:rPr>
          <w:rFonts w:ascii="Times New Roman" w:hAnsi="Times New Roman" w:cs="Times New Roman"/>
          <w:sz w:val="24"/>
          <w:szCs w:val="24"/>
        </w:rPr>
        <w:t>ti</w:t>
      </w:r>
      <w:r w:rsidRPr="00241E61">
        <w:rPr>
          <w:rFonts w:ascii="Times New Roman" w:hAnsi="Times New Roman" w:cs="Times New Roman"/>
          <w:sz w:val="24"/>
          <w:szCs w:val="24"/>
        </w:rPr>
        <w:t xml:space="preserve"> </w:t>
      </w:r>
      <w:r w:rsidRPr="0087076D">
        <w:rPr>
          <w:rFonts w:ascii="Times New Roman" w:hAnsi="Times New Roman" w:cs="Times New Roman"/>
          <w:color w:val="000000" w:themeColor="text1"/>
          <w:sz w:val="24"/>
          <w:szCs w:val="24"/>
        </w:rPr>
        <w:t>za isplatu plaća pripravnika (Hrvatski zavod za zapošljavanje unaprijed isplaćuje cijeli iznos za navedenu namjenu)</w:t>
      </w:r>
      <w:r w:rsidRPr="00AC2E4F">
        <w:rPr>
          <w:rFonts w:ascii="Times New Roman" w:hAnsi="Times New Roman" w:cs="Times New Roman"/>
          <w:color w:val="00B0F0"/>
          <w:sz w:val="24"/>
          <w:szCs w:val="24"/>
        </w:rPr>
        <w:t xml:space="preserve">. </w:t>
      </w:r>
      <w:r w:rsidRPr="00241E61">
        <w:rPr>
          <w:rFonts w:ascii="Times New Roman" w:hAnsi="Times New Roman" w:cs="Times New Roman"/>
          <w:sz w:val="24"/>
          <w:szCs w:val="24"/>
        </w:rPr>
        <w:t xml:space="preserve">Na kraju </w:t>
      </w:r>
      <w:r>
        <w:rPr>
          <w:rFonts w:ascii="Times New Roman" w:hAnsi="Times New Roman" w:cs="Times New Roman"/>
          <w:sz w:val="24"/>
          <w:szCs w:val="24"/>
        </w:rPr>
        <w:t>2024</w:t>
      </w:r>
      <w:r w:rsidRPr="00241E61">
        <w:rPr>
          <w:rFonts w:ascii="Times New Roman" w:hAnsi="Times New Roman" w:cs="Times New Roman"/>
          <w:sz w:val="24"/>
          <w:szCs w:val="24"/>
        </w:rPr>
        <w:t xml:space="preserve">. godine se očekuje prijenos iznosa od </w:t>
      </w:r>
      <w:r>
        <w:rPr>
          <w:rFonts w:ascii="Times New Roman" w:hAnsi="Times New Roman" w:cs="Times New Roman"/>
          <w:sz w:val="24"/>
          <w:szCs w:val="24"/>
        </w:rPr>
        <w:t>150.000</w:t>
      </w:r>
      <w:r w:rsidRPr="00241E61">
        <w:rPr>
          <w:rFonts w:ascii="Times New Roman" w:hAnsi="Times New Roman" w:cs="Times New Roman"/>
          <w:sz w:val="24"/>
          <w:szCs w:val="24"/>
        </w:rPr>
        <w:t xml:space="preserve"> eura u 202</w:t>
      </w:r>
      <w:r>
        <w:rPr>
          <w:rFonts w:ascii="Times New Roman" w:hAnsi="Times New Roman" w:cs="Times New Roman"/>
          <w:sz w:val="24"/>
          <w:szCs w:val="24"/>
        </w:rPr>
        <w:t>5</w:t>
      </w:r>
      <w:r w:rsidRPr="00241E61">
        <w:rPr>
          <w:rFonts w:ascii="Times New Roman" w:hAnsi="Times New Roman" w:cs="Times New Roman"/>
          <w:sz w:val="24"/>
          <w:szCs w:val="24"/>
        </w:rPr>
        <w:t xml:space="preserve">. godinu i </w:t>
      </w:r>
      <w:r>
        <w:rPr>
          <w:rFonts w:ascii="Times New Roman" w:hAnsi="Times New Roman" w:cs="Times New Roman"/>
          <w:sz w:val="24"/>
          <w:szCs w:val="24"/>
        </w:rPr>
        <w:t>174.265</w:t>
      </w:r>
      <w:r w:rsidRPr="00241E61">
        <w:rPr>
          <w:rFonts w:ascii="Times New Roman" w:hAnsi="Times New Roman" w:cs="Times New Roman"/>
          <w:sz w:val="24"/>
          <w:szCs w:val="24"/>
        </w:rPr>
        <w:t xml:space="preserve"> eura u 202</w:t>
      </w:r>
      <w:r>
        <w:rPr>
          <w:rFonts w:ascii="Times New Roman" w:hAnsi="Times New Roman" w:cs="Times New Roman"/>
          <w:sz w:val="24"/>
          <w:szCs w:val="24"/>
        </w:rPr>
        <w:t>6</w:t>
      </w:r>
      <w:r w:rsidRPr="00241E61">
        <w:rPr>
          <w:rFonts w:ascii="Times New Roman" w:hAnsi="Times New Roman" w:cs="Times New Roman"/>
          <w:sz w:val="24"/>
          <w:szCs w:val="24"/>
        </w:rPr>
        <w:t>. godinu.</w:t>
      </w:r>
      <w:r>
        <w:rPr>
          <w:rFonts w:ascii="Times New Roman" w:hAnsi="Times New Roman" w:cs="Times New Roman"/>
          <w:sz w:val="24"/>
          <w:szCs w:val="24"/>
        </w:rPr>
        <w:t xml:space="preserve"> Na kraju 2026</w:t>
      </w:r>
      <w:r w:rsidRPr="00241E61">
        <w:rPr>
          <w:rFonts w:ascii="Times New Roman" w:hAnsi="Times New Roman" w:cs="Times New Roman"/>
          <w:sz w:val="24"/>
          <w:szCs w:val="24"/>
        </w:rPr>
        <w:t xml:space="preserve">. godine </w:t>
      </w:r>
      <w:r>
        <w:rPr>
          <w:rFonts w:ascii="Times New Roman" w:hAnsi="Times New Roman" w:cs="Times New Roman"/>
          <w:sz w:val="24"/>
          <w:szCs w:val="24"/>
        </w:rPr>
        <w:t>planiran je iznos za</w:t>
      </w:r>
      <w:r w:rsidRPr="00241E61">
        <w:rPr>
          <w:rFonts w:ascii="Times New Roman" w:hAnsi="Times New Roman" w:cs="Times New Roman"/>
          <w:sz w:val="24"/>
          <w:szCs w:val="24"/>
        </w:rPr>
        <w:t xml:space="preserve"> prijenos </w:t>
      </w:r>
      <w:r>
        <w:rPr>
          <w:rFonts w:ascii="Times New Roman" w:hAnsi="Times New Roman" w:cs="Times New Roman"/>
          <w:sz w:val="24"/>
          <w:szCs w:val="24"/>
        </w:rPr>
        <w:t>od 127.654</w:t>
      </w:r>
      <w:r w:rsidRPr="00241E61">
        <w:rPr>
          <w:rFonts w:ascii="Times New Roman" w:hAnsi="Times New Roman" w:cs="Times New Roman"/>
          <w:sz w:val="24"/>
          <w:szCs w:val="24"/>
        </w:rPr>
        <w:t xml:space="preserve"> eura.</w:t>
      </w:r>
    </w:p>
    <w:p w:rsidR="009E024C" w:rsidRPr="00241E61" w:rsidRDefault="009E024C" w:rsidP="009E024C">
      <w:pPr>
        <w:spacing w:before="120" w:line="240" w:lineRule="auto"/>
        <w:jc w:val="both"/>
        <w:rPr>
          <w:rFonts w:ascii="Times New Roman" w:hAnsi="Times New Roman" w:cs="Times New Roman"/>
          <w:sz w:val="24"/>
          <w:szCs w:val="24"/>
        </w:rPr>
      </w:pPr>
      <w:r w:rsidRPr="00241E61">
        <w:rPr>
          <w:rFonts w:ascii="Times New Roman" w:hAnsi="Times New Roman" w:cs="Times New Roman"/>
          <w:sz w:val="24"/>
          <w:szCs w:val="24"/>
        </w:rPr>
        <w:tab/>
        <w:t>Od donacija (</w:t>
      </w:r>
      <w:r w:rsidR="00DC5F20">
        <w:rPr>
          <w:rFonts w:ascii="Times New Roman" w:hAnsi="Times New Roman" w:cs="Times New Roman"/>
          <w:sz w:val="24"/>
          <w:szCs w:val="24"/>
        </w:rPr>
        <w:t>izvor financiranja</w:t>
      </w:r>
      <w:r w:rsidRPr="00241E61">
        <w:rPr>
          <w:rFonts w:ascii="Times New Roman" w:hAnsi="Times New Roman" w:cs="Times New Roman"/>
          <w:sz w:val="24"/>
          <w:szCs w:val="24"/>
        </w:rPr>
        <w:t xml:space="preserve"> 61) </w:t>
      </w:r>
      <w:r>
        <w:rPr>
          <w:rFonts w:ascii="Times New Roman" w:hAnsi="Times New Roman" w:cs="Times New Roman"/>
          <w:sz w:val="24"/>
          <w:szCs w:val="24"/>
        </w:rPr>
        <w:t xml:space="preserve">planiran je </w:t>
      </w:r>
      <w:r w:rsidRPr="00241E61">
        <w:rPr>
          <w:rFonts w:ascii="Times New Roman" w:hAnsi="Times New Roman" w:cs="Times New Roman"/>
          <w:sz w:val="24"/>
          <w:szCs w:val="24"/>
        </w:rPr>
        <w:t>neutrošen</w:t>
      </w:r>
      <w:r>
        <w:rPr>
          <w:rFonts w:ascii="Times New Roman" w:hAnsi="Times New Roman" w:cs="Times New Roman"/>
          <w:sz w:val="24"/>
          <w:szCs w:val="24"/>
        </w:rPr>
        <w:t xml:space="preserve"> iznos od</w:t>
      </w:r>
      <w:r w:rsidRPr="00241E61">
        <w:rPr>
          <w:rFonts w:ascii="Times New Roman" w:hAnsi="Times New Roman" w:cs="Times New Roman"/>
          <w:sz w:val="24"/>
          <w:szCs w:val="24"/>
        </w:rPr>
        <w:t xml:space="preserve"> </w:t>
      </w:r>
      <w:r w:rsidR="00AC4339">
        <w:rPr>
          <w:rFonts w:ascii="Times New Roman" w:hAnsi="Times New Roman" w:cs="Times New Roman"/>
          <w:sz w:val="24"/>
          <w:szCs w:val="24"/>
        </w:rPr>
        <w:t>541.268</w:t>
      </w:r>
      <w:r w:rsidRPr="00241E61">
        <w:rPr>
          <w:rFonts w:ascii="Times New Roman" w:hAnsi="Times New Roman" w:cs="Times New Roman"/>
          <w:sz w:val="24"/>
          <w:szCs w:val="24"/>
        </w:rPr>
        <w:t xml:space="preserve"> eura koji se prenose u 202</w:t>
      </w:r>
      <w:r>
        <w:rPr>
          <w:rFonts w:ascii="Times New Roman" w:hAnsi="Times New Roman" w:cs="Times New Roman"/>
          <w:sz w:val="24"/>
          <w:szCs w:val="24"/>
        </w:rPr>
        <w:t>4</w:t>
      </w:r>
      <w:r w:rsidRPr="00241E61">
        <w:rPr>
          <w:rFonts w:ascii="Times New Roman" w:hAnsi="Times New Roman" w:cs="Times New Roman"/>
          <w:sz w:val="24"/>
          <w:szCs w:val="24"/>
        </w:rPr>
        <w:t xml:space="preserve">. godinu </w:t>
      </w:r>
      <w:r>
        <w:rPr>
          <w:rFonts w:ascii="Times New Roman" w:hAnsi="Times New Roman" w:cs="Times New Roman"/>
          <w:sz w:val="24"/>
          <w:szCs w:val="24"/>
        </w:rPr>
        <w:t xml:space="preserve">radi </w:t>
      </w:r>
      <w:r w:rsidRPr="0087076D">
        <w:rPr>
          <w:rFonts w:ascii="Times New Roman" w:hAnsi="Times New Roman" w:cs="Times New Roman"/>
          <w:color w:val="000000" w:themeColor="text1"/>
          <w:sz w:val="24"/>
          <w:szCs w:val="24"/>
        </w:rPr>
        <w:t>nerealiziranih isplata službenih putovanja, kotizacija i članarina</w:t>
      </w:r>
      <w:r>
        <w:rPr>
          <w:rFonts w:ascii="Times New Roman" w:hAnsi="Times New Roman" w:cs="Times New Roman"/>
          <w:color w:val="000000" w:themeColor="text1"/>
          <w:sz w:val="24"/>
          <w:szCs w:val="24"/>
        </w:rPr>
        <w:t>,</w:t>
      </w:r>
      <w:r w:rsidRPr="00C53196">
        <w:rPr>
          <w:rFonts w:ascii="Times New Roman" w:hAnsi="Times New Roman" w:cs="Times New Roman"/>
          <w:color w:val="00B0F0"/>
          <w:sz w:val="24"/>
          <w:szCs w:val="24"/>
        </w:rPr>
        <w:t xml:space="preserve"> </w:t>
      </w:r>
      <w:r w:rsidRPr="00241E61">
        <w:rPr>
          <w:rFonts w:ascii="Times New Roman" w:hAnsi="Times New Roman" w:cs="Times New Roman"/>
          <w:sz w:val="24"/>
          <w:szCs w:val="24"/>
        </w:rPr>
        <w:t>te se očekuje da će se iz 202</w:t>
      </w:r>
      <w:r>
        <w:rPr>
          <w:rFonts w:ascii="Times New Roman" w:hAnsi="Times New Roman" w:cs="Times New Roman"/>
          <w:sz w:val="24"/>
          <w:szCs w:val="24"/>
        </w:rPr>
        <w:t>4</w:t>
      </w:r>
      <w:r w:rsidRPr="00241E61">
        <w:rPr>
          <w:rFonts w:ascii="Times New Roman" w:hAnsi="Times New Roman" w:cs="Times New Roman"/>
          <w:sz w:val="24"/>
          <w:szCs w:val="24"/>
        </w:rPr>
        <w:t>. godine u 202</w:t>
      </w:r>
      <w:r>
        <w:rPr>
          <w:rFonts w:ascii="Times New Roman" w:hAnsi="Times New Roman" w:cs="Times New Roman"/>
          <w:sz w:val="24"/>
          <w:szCs w:val="24"/>
        </w:rPr>
        <w:t>5</w:t>
      </w:r>
      <w:r w:rsidRPr="00241E61">
        <w:rPr>
          <w:rFonts w:ascii="Times New Roman" w:hAnsi="Times New Roman" w:cs="Times New Roman"/>
          <w:sz w:val="24"/>
          <w:szCs w:val="24"/>
        </w:rPr>
        <w:t xml:space="preserve">. godinu prenijeti iznos od </w:t>
      </w:r>
      <w:r w:rsidR="00AC4339">
        <w:rPr>
          <w:rFonts w:ascii="Times New Roman" w:hAnsi="Times New Roman" w:cs="Times New Roman"/>
          <w:sz w:val="24"/>
          <w:szCs w:val="24"/>
        </w:rPr>
        <w:t xml:space="preserve">457.037 </w:t>
      </w:r>
      <w:r w:rsidRPr="00241E61">
        <w:rPr>
          <w:rFonts w:ascii="Times New Roman" w:hAnsi="Times New Roman" w:cs="Times New Roman"/>
          <w:sz w:val="24"/>
          <w:szCs w:val="24"/>
        </w:rPr>
        <w:t>eura, te iz 202</w:t>
      </w:r>
      <w:r>
        <w:rPr>
          <w:rFonts w:ascii="Times New Roman" w:hAnsi="Times New Roman" w:cs="Times New Roman"/>
          <w:sz w:val="24"/>
          <w:szCs w:val="24"/>
        </w:rPr>
        <w:t>5</w:t>
      </w:r>
      <w:r w:rsidRPr="00241E61">
        <w:rPr>
          <w:rFonts w:ascii="Times New Roman" w:hAnsi="Times New Roman" w:cs="Times New Roman"/>
          <w:sz w:val="24"/>
          <w:szCs w:val="24"/>
        </w:rPr>
        <w:t>. u 202</w:t>
      </w:r>
      <w:r>
        <w:rPr>
          <w:rFonts w:ascii="Times New Roman" w:hAnsi="Times New Roman" w:cs="Times New Roman"/>
          <w:sz w:val="24"/>
          <w:szCs w:val="24"/>
        </w:rPr>
        <w:t>6</w:t>
      </w:r>
      <w:r w:rsidRPr="00241E61">
        <w:rPr>
          <w:rFonts w:ascii="Times New Roman" w:hAnsi="Times New Roman" w:cs="Times New Roman"/>
          <w:sz w:val="24"/>
          <w:szCs w:val="24"/>
        </w:rPr>
        <w:t xml:space="preserve">. godinu </w:t>
      </w:r>
      <w:r w:rsidR="00AC4339">
        <w:rPr>
          <w:rFonts w:ascii="Times New Roman" w:hAnsi="Times New Roman" w:cs="Times New Roman"/>
          <w:sz w:val="24"/>
          <w:szCs w:val="24"/>
        </w:rPr>
        <w:t>384.206</w:t>
      </w:r>
      <w:r w:rsidRPr="00241E61">
        <w:rPr>
          <w:rFonts w:ascii="Times New Roman" w:hAnsi="Times New Roman" w:cs="Times New Roman"/>
          <w:sz w:val="24"/>
          <w:szCs w:val="24"/>
        </w:rPr>
        <w:t xml:space="preserve"> eur</w:t>
      </w:r>
      <w:r w:rsidR="00AC4339">
        <w:rPr>
          <w:rFonts w:ascii="Times New Roman" w:hAnsi="Times New Roman" w:cs="Times New Roman"/>
          <w:sz w:val="24"/>
          <w:szCs w:val="24"/>
        </w:rPr>
        <w:t>a</w:t>
      </w:r>
      <w:r w:rsidRPr="00241E61">
        <w:rPr>
          <w:rFonts w:ascii="Times New Roman" w:hAnsi="Times New Roman" w:cs="Times New Roman"/>
          <w:sz w:val="24"/>
          <w:szCs w:val="24"/>
        </w:rPr>
        <w:t>. Na kraju 202</w:t>
      </w:r>
      <w:r>
        <w:rPr>
          <w:rFonts w:ascii="Times New Roman" w:hAnsi="Times New Roman" w:cs="Times New Roman"/>
          <w:sz w:val="24"/>
          <w:szCs w:val="24"/>
        </w:rPr>
        <w:t>6</w:t>
      </w:r>
      <w:r w:rsidRPr="00241E61">
        <w:rPr>
          <w:rFonts w:ascii="Times New Roman" w:hAnsi="Times New Roman" w:cs="Times New Roman"/>
          <w:sz w:val="24"/>
          <w:szCs w:val="24"/>
        </w:rPr>
        <w:t xml:space="preserve">. godine </w:t>
      </w:r>
      <w:r>
        <w:rPr>
          <w:rFonts w:ascii="Times New Roman" w:hAnsi="Times New Roman" w:cs="Times New Roman"/>
          <w:sz w:val="24"/>
          <w:szCs w:val="24"/>
        </w:rPr>
        <w:t xml:space="preserve">planirani iznos za </w:t>
      </w:r>
      <w:r w:rsidRPr="00241E61">
        <w:rPr>
          <w:rFonts w:ascii="Times New Roman" w:hAnsi="Times New Roman" w:cs="Times New Roman"/>
          <w:sz w:val="24"/>
          <w:szCs w:val="24"/>
        </w:rPr>
        <w:t>prijenos</w:t>
      </w:r>
      <w:r>
        <w:rPr>
          <w:rFonts w:ascii="Times New Roman" w:hAnsi="Times New Roman" w:cs="Times New Roman"/>
          <w:sz w:val="24"/>
          <w:szCs w:val="24"/>
        </w:rPr>
        <w:t xml:space="preserve"> je</w:t>
      </w:r>
      <w:r w:rsidRPr="00241E61">
        <w:rPr>
          <w:rFonts w:ascii="Times New Roman" w:hAnsi="Times New Roman" w:cs="Times New Roman"/>
          <w:sz w:val="24"/>
          <w:szCs w:val="24"/>
        </w:rPr>
        <w:t xml:space="preserve"> </w:t>
      </w:r>
      <w:r w:rsidR="00C75C75">
        <w:rPr>
          <w:rFonts w:ascii="Times New Roman" w:hAnsi="Times New Roman" w:cs="Times New Roman"/>
          <w:sz w:val="24"/>
          <w:szCs w:val="24"/>
        </w:rPr>
        <w:t>365.572</w:t>
      </w:r>
      <w:r w:rsidRPr="00241E61">
        <w:rPr>
          <w:rFonts w:ascii="Times New Roman" w:hAnsi="Times New Roman" w:cs="Times New Roman"/>
          <w:sz w:val="24"/>
          <w:szCs w:val="24"/>
        </w:rPr>
        <w:t xml:space="preserve"> eur</w:t>
      </w:r>
      <w:r w:rsidR="00C75C75">
        <w:rPr>
          <w:rFonts w:ascii="Times New Roman" w:hAnsi="Times New Roman" w:cs="Times New Roman"/>
          <w:sz w:val="24"/>
          <w:szCs w:val="24"/>
        </w:rPr>
        <w:t>a</w:t>
      </w:r>
      <w:r w:rsidRPr="00241E61">
        <w:rPr>
          <w:rFonts w:ascii="Times New Roman" w:hAnsi="Times New Roman" w:cs="Times New Roman"/>
          <w:sz w:val="24"/>
          <w:szCs w:val="24"/>
        </w:rPr>
        <w:t>.</w:t>
      </w:r>
    </w:p>
    <w:p w:rsidR="009E024C" w:rsidRPr="00241E61" w:rsidRDefault="009E024C" w:rsidP="009E024C">
      <w:pPr>
        <w:spacing w:before="120" w:line="240" w:lineRule="auto"/>
        <w:jc w:val="both"/>
        <w:rPr>
          <w:rFonts w:ascii="Times New Roman" w:hAnsi="Times New Roman" w:cs="Times New Roman"/>
          <w:sz w:val="24"/>
          <w:szCs w:val="24"/>
        </w:rPr>
      </w:pPr>
      <w:r w:rsidRPr="00241E61">
        <w:rPr>
          <w:rFonts w:ascii="Times New Roman" w:hAnsi="Times New Roman" w:cs="Times New Roman"/>
          <w:sz w:val="24"/>
          <w:szCs w:val="24"/>
        </w:rPr>
        <w:tab/>
      </w:r>
      <w:r>
        <w:rPr>
          <w:rFonts w:ascii="Times New Roman" w:hAnsi="Times New Roman" w:cs="Times New Roman"/>
          <w:sz w:val="24"/>
          <w:szCs w:val="24"/>
        </w:rPr>
        <w:t>Kod prihoda</w:t>
      </w:r>
      <w:r w:rsidRPr="00241E61">
        <w:rPr>
          <w:rFonts w:ascii="Times New Roman" w:hAnsi="Times New Roman" w:cs="Times New Roman"/>
          <w:sz w:val="24"/>
          <w:szCs w:val="24"/>
        </w:rPr>
        <w:t xml:space="preserve"> od nefinancijske imovine (</w:t>
      </w:r>
      <w:r w:rsidR="00DC5F20">
        <w:rPr>
          <w:rFonts w:ascii="Times New Roman" w:hAnsi="Times New Roman" w:cs="Times New Roman"/>
          <w:sz w:val="24"/>
          <w:szCs w:val="24"/>
        </w:rPr>
        <w:t>izvor financiranja</w:t>
      </w:r>
      <w:r w:rsidRPr="00241E61">
        <w:rPr>
          <w:rFonts w:ascii="Times New Roman" w:hAnsi="Times New Roman" w:cs="Times New Roman"/>
          <w:sz w:val="24"/>
          <w:szCs w:val="24"/>
        </w:rPr>
        <w:t xml:space="preserve"> 71) </w:t>
      </w:r>
      <w:r>
        <w:rPr>
          <w:rFonts w:ascii="Times New Roman" w:hAnsi="Times New Roman" w:cs="Times New Roman"/>
          <w:sz w:val="24"/>
          <w:szCs w:val="24"/>
        </w:rPr>
        <w:t xml:space="preserve">planiran je </w:t>
      </w:r>
      <w:r w:rsidRPr="00241E61">
        <w:rPr>
          <w:rFonts w:ascii="Times New Roman" w:hAnsi="Times New Roman" w:cs="Times New Roman"/>
          <w:sz w:val="24"/>
          <w:szCs w:val="24"/>
        </w:rPr>
        <w:t>prijenos u iznosu od 1</w:t>
      </w:r>
      <w:r>
        <w:rPr>
          <w:rFonts w:ascii="Times New Roman" w:hAnsi="Times New Roman" w:cs="Times New Roman"/>
          <w:sz w:val="24"/>
          <w:szCs w:val="24"/>
        </w:rPr>
        <w:t>5</w:t>
      </w:r>
      <w:r w:rsidRPr="00241E61">
        <w:rPr>
          <w:rFonts w:ascii="Times New Roman" w:hAnsi="Times New Roman" w:cs="Times New Roman"/>
          <w:sz w:val="24"/>
          <w:szCs w:val="24"/>
        </w:rPr>
        <w:t>.</w:t>
      </w:r>
      <w:r w:rsidR="00C75C75">
        <w:rPr>
          <w:rFonts w:ascii="Times New Roman" w:hAnsi="Times New Roman" w:cs="Times New Roman"/>
          <w:sz w:val="24"/>
          <w:szCs w:val="24"/>
        </w:rPr>
        <w:t>4</w:t>
      </w:r>
      <w:r>
        <w:rPr>
          <w:rFonts w:ascii="Times New Roman" w:hAnsi="Times New Roman" w:cs="Times New Roman"/>
          <w:sz w:val="24"/>
          <w:szCs w:val="24"/>
        </w:rPr>
        <w:t>7</w:t>
      </w:r>
      <w:r w:rsidR="00C75C75">
        <w:rPr>
          <w:rFonts w:ascii="Times New Roman" w:hAnsi="Times New Roman" w:cs="Times New Roman"/>
          <w:sz w:val="24"/>
          <w:szCs w:val="24"/>
        </w:rPr>
        <w:t>3</w:t>
      </w:r>
      <w:r w:rsidRPr="00241E61">
        <w:rPr>
          <w:rFonts w:ascii="Times New Roman" w:hAnsi="Times New Roman" w:cs="Times New Roman"/>
          <w:sz w:val="24"/>
          <w:szCs w:val="24"/>
        </w:rPr>
        <w:t xml:space="preserve"> eura kroz sve planske godine. Radi se o prihodu od prodaje stanova koji ćemo utrošiti u dugotrajnu imovinu tijekom narednog razdoblja.</w:t>
      </w:r>
    </w:p>
    <w:p w:rsidR="009E024C" w:rsidRDefault="009E024C" w:rsidP="009E024C">
      <w:pPr>
        <w:spacing w:before="120" w:line="240" w:lineRule="auto"/>
        <w:jc w:val="both"/>
        <w:rPr>
          <w:rFonts w:ascii="Times New Roman" w:hAnsi="Times New Roman" w:cs="Times New Roman"/>
          <w:b/>
          <w:sz w:val="24"/>
          <w:szCs w:val="24"/>
        </w:rPr>
      </w:pPr>
    </w:p>
    <w:p w:rsidR="009E024C" w:rsidRPr="00241E61" w:rsidRDefault="009E024C" w:rsidP="009E024C">
      <w:pPr>
        <w:spacing w:before="120" w:line="240" w:lineRule="auto"/>
        <w:jc w:val="both"/>
        <w:rPr>
          <w:rFonts w:ascii="Times New Roman" w:hAnsi="Times New Roman" w:cs="Times New Roman"/>
          <w:b/>
          <w:sz w:val="24"/>
          <w:szCs w:val="24"/>
        </w:rPr>
      </w:pPr>
      <w:r w:rsidRPr="00241E61">
        <w:rPr>
          <w:rFonts w:ascii="Times New Roman" w:hAnsi="Times New Roman" w:cs="Times New Roman"/>
          <w:b/>
          <w:sz w:val="24"/>
          <w:szCs w:val="24"/>
        </w:rPr>
        <w:t>PRIKAZ STANJA UKUPNIH I DOSPJELIH OBVEZA</w:t>
      </w:r>
    </w:p>
    <w:p w:rsidR="009E024C" w:rsidRPr="00241E61" w:rsidRDefault="009E024C" w:rsidP="009E024C">
      <w:pPr>
        <w:spacing w:before="120" w:line="240" w:lineRule="auto"/>
        <w:ind w:firstLine="708"/>
        <w:jc w:val="both"/>
        <w:rPr>
          <w:rFonts w:ascii="Times New Roman" w:hAnsi="Times New Roman" w:cs="Times New Roman"/>
          <w:sz w:val="24"/>
          <w:szCs w:val="24"/>
        </w:rPr>
      </w:pPr>
      <w:r w:rsidRPr="00241E61">
        <w:rPr>
          <w:rFonts w:ascii="Times New Roman" w:hAnsi="Times New Roman" w:cs="Times New Roman"/>
          <w:sz w:val="24"/>
          <w:szCs w:val="24"/>
        </w:rPr>
        <w:t xml:space="preserve">Navodimo prikaz stanja ukupnih i dospjelih obveza KBC-a na dan 31. prosinca </w:t>
      </w:r>
      <w:r>
        <w:rPr>
          <w:rFonts w:ascii="Times New Roman" w:hAnsi="Times New Roman" w:cs="Times New Roman"/>
          <w:sz w:val="24"/>
          <w:szCs w:val="24"/>
        </w:rPr>
        <w:t>2022</w:t>
      </w:r>
      <w:r w:rsidRPr="00241E61">
        <w:rPr>
          <w:rFonts w:ascii="Times New Roman" w:hAnsi="Times New Roman" w:cs="Times New Roman"/>
          <w:sz w:val="24"/>
          <w:szCs w:val="24"/>
        </w:rPr>
        <w:t>. godine i na dan 30. lipnja 202</w:t>
      </w:r>
      <w:r>
        <w:rPr>
          <w:rFonts w:ascii="Times New Roman" w:hAnsi="Times New Roman" w:cs="Times New Roman"/>
          <w:sz w:val="24"/>
          <w:szCs w:val="24"/>
        </w:rPr>
        <w:t>3</w:t>
      </w:r>
      <w:r w:rsidRPr="00241E61">
        <w:rPr>
          <w:rFonts w:ascii="Times New Roman" w:hAnsi="Times New Roman" w:cs="Times New Roman"/>
          <w:sz w:val="24"/>
          <w:szCs w:val="24"/>
        </w:rPr>
        <w:t>. godine:</w:t>
      </w:r>
    </w:p>
    <w:tbl>
      <w:tblPr>
        <w:tblStyle w:val="Reetkatablice"/>
        <w:tblW w:w="0" w:type="auto"/>
        <w:tblLook w:val="04A0" w:firstRow="1" w:lastRow="0" w:firstColumn="1" w:lastColumn="0" w:noHBand="0" w:noVBand="1"/>
      </w:tblPr>
      <w:tblGrid>
        <w:gridCol w:w="1838"/>
        <w:gridCol w:w="3544"/>
        <w:gridCol w:w="3680"/>
      </w:tblGrid>
      <w:tr w:rsidR="009E024C" w:rsidRPr="00241E61" w:rsidTr="009E50D4">
        <w:tc>
          <w:tcPr>
            <w:tcW w:w="1838" w:type="dxa"/>
          </w:tcPr>
          <w:p w:rsidR="009E024C" w:rsidRPr="00241E61" w:rsidRDefault="009E024C" w:rsidP="009E50D4">
            <w:pPr>
              <w:spacing w:before="120"/>
              <w:jc w:val="center"/>
              <w:rPr>
                <w:rFonts w:ascii="Times New Roman" w:hAnsi="Times New Roman" w:cs="Times New Roman"/>
                <w:sz w:val="24"/>
                <w:szCs w:val="24"/>
              </w:rPr>
            </w:pPr>
          </w:p>
        </w:tc>
        <w:tc>
          <w:tcPr>
            <w:tcW w:w="3544" w:type="dxa"/>
          </w:tcPr>
          <w:p w:rsidR="009E024C" w:rsidRPr="00241E61" w:rsidRDefault="009E024C" w:rsidP="009E50D4">
            <w:pPr>
              <w:spacing w:before="120"/>
              <w:jc w:val="center"/>
              <w:rPr>
                <w:rFonts w:ascii="Times New Roman" w:hAnsi="Times New Roman" w:cs="Times New Roman"/>
                <w:b/>
                <w:sz w:val="24"/>
                <w:szCs w:val="24"/>
              </w:rPr>
            </w:pPr>
            <w:r>
              <w:rPr>
                <w:rFonts w:ascii="Times New Roman" w:hAnsi="Times New Roman" w:cs="Times New Roman"/>
                <w:b/>
                <w:sz w:val="24"/>
                <w:szCs w:val="24"/>
              </w:rPr>
              <w:t>Stanje obveza na dan 31.12.2022</w:t>
            </w:r>
            <w:r w:rsidRPr="00241E61">
              <w:rPr>
                <w:rFonts w:ascii="Times New Roman" w:hAnsi="Times New Roman" w:cs="Times New Roman"/>
                <w:b/>
                <w:sz w:val="24"/>
                <w:szCs w:val="24"/>
              </w:rPr>
              <w:t>.</w:t>
            </w:r>
          </w:p>
        </w:tc>
        <w:tc>
          <w:tcPr>
            <w:tcW w:w="3680" w:type="dxa"/>
          </w:tcPr>
          <w:p w:rsidR="009E024C" w:rsidRDefault="009E024C" w:rsidP="009E50D4">
            <w:pPr>
              <w:spacing w:before="120"/>
              <w:jc w:val="center"/>
              <w:rPr>
                <w:rFonts w:ascii="Times New Roman" w:hAnsi="Times New Roman" w:cs="Times New Roman"/>
                <w:b/>
                <w:sz w:val="24"/>
                <w:szCs w:val="24"/>
              </w:rPr>
            </w:pPr>
            <w:r w:rsidRPr="00241E61">
              <w:rPr>
                <w:rFonts w:ascii="Times New Roman" w:hAnsi="Times New Roman" w:cs="Times New Roman"/>
                <w:b/>
                <w:sz w:val="24"/>
                <w:szCs w:val="24"/>
              </w:rPr>
              <w:t>Stanje obveza na dan</w:t>
            </w:r>
            <w:r>
              <w:rPr>
                <w:rFonts w:ascii="Times New Roman" w:hAnsi="Times New Roman" w:cs="Times New Roman"/>
                <w:b/>
                <w:sz w:val="24"/>
                <w:szCs w:val="24"/>
              </w:rPr>
              <w:t xml:space="preserve"> </w:t>
            </w:r>
          </w:p>
          <w:p w:rsidR="009E024C" w:rsidRPr="00241E61" w:rsidRDefault="009E024C" w:rsidP="009E50D4">
            <w:pPr>
              <w:spacing w:before="120"/>
              <w:jc w:val="center"/>
              <w:rPr>
                <w:rFonts w:ascii="Times New Roman" w:hAnsi="Times New Roman" w:cs="Times New Roman"/>
                <w:b/>
                <w:sz w:val="24"/>
                <w:szCs w:val="24"/>
              </w:rPr>
            </w:pPr>
            <w:r w:rsidRPr="00241E61">
              <w:rPr>
                <w:rFonts w:ascii="Times New Roman" w:hAnsi="Times New Roman" w:cs="Times New Roman"/>
                <w:b/>
                <w:sz w:val="24"/>
                <w:szCs w:val="24"/>
              </w:rPr>
              <w:t>30.06.202</w:t>
            </w:r>
            <w:r>
              <w:rPr>
                <w:rFonts w:ascii="Times New Roman" w:hAnsi="Times New Roman" w:cs="Times New Roman"/>
                <w:b/>
                <w:sz w:val="24"/>
                <w:szCs w:val="24"/>
              </w:rPr>
              <w:t>3</w:t>
            </w:r>
            <w:r w:rsidRPr="00241E61">
              <w:rPr>
                <w:rFonts w:ascii="Times New Roman" w:hAnsi="Times New Roman" w:cs="Times New Roman"/>
                <w:b/>
                <w:sz w:val="24"/>
                <w:szCs w:val="24"/>
              </w:rPr>
              <w:t>.</w:t>
            </w:r>
          </w:p>
        </w:tc>
      </w:tr>
      <w:tr w:rsidR="009E024C" w:rsidRPr="00241E61" w:rsidTr="009E50D4">
        <w:tc>
          <w:tcPr>
            <w:tcW w:w="1838" w:type="dxa"/>
          </w:tcPr>
          <w:p w:rsidR="009E024C" w:rsidRPr="00241E61" w:rsidRDefault="009E024C" w:rsidP="009E50D4">
            <w:pPr>
              <w:spacing w:before="120"/>
              <w:jc w:val="both"/>
              <w:rPr>
                <w:rFonts w:ascii="Times New Roman" w:hAnsi="Times New Roman" w:cs="Times New Roman"/>
                <w:sz w:val="24"/>
                <w:szCs w:val="24"/>
              </w:rPr>
            </w:pPr>
            <w:r w:rsidRPr="00241E61">
              <w:rPr>
                <w:rFonts w:ascii="Times New Roman" w:hAnsi="Times New Roman" w:cs="Times New Roman"/>
                <w:sz w:val="24"/>
                <w:szCs w:val="24"/>
              </w:rPr>
              <w:t>Ukupne obveze</w:t>
            </w:r>
          </w:p>
        </w:tc>
        <w:tc>
          <w:tcPr>
            <w:tcW w:w="3544" w:type="dxa"/>
          </w:tcPr>
          <w:p w:rsidR="009E024C" w:rsidRPr="00241E61" w:rsidRDefault="009E024C" w:rsidP="009E50D4">
            <w:pPr>
              <w:spacing w:before="120"/>
              <w:jc w:val="right"/>
              <w:rPr>
                <w:rFonts w:ascii="Times New Roman" w:hAnsi="Times New Roman" w:cs="Times New Roman"/>
                <w:sz w:val="24"/>
                <w:szCs w:val="24"/>
              </w:rPr>
            </w:pPr>
            <w:r>
              <w:rPr>
                <w:rFonts w:ascii="Times New Roman" w:hAnsi="Times New Roman" w:cs="Times New Roman"/>
                <w:sz w:val="24"/>
                <w:szCs w:val="24"/>
              </w:rPr>
              <w:t>131.111.138</w:t>
            </w:r>
          </w:p>
        </w:tc>
        <w:tc>
          <w:tcPr>
            <w:tcW w:w="3680" w:type="dxa"/>
          </w:tcPr>
          <w:p w:rsidR="009E024C" w:rsidRPr="00241E61" w:rsidRDefault="009E024C" w:rsidP="009E50D4">
            <w:pPr>
              <w:spacing w:before="120"/>
              <w:jc w:val="right"/>
              <w:rPr>
                <w:rFonts w:ascii="Times New Roman" w:hAnsi="Times New Roman" w:cs="Times New Roman"/>
                <w:sz w:val="24"/>
                <w:szCs w:val="24"/>
              </w:rPr>
            </w:pPr>
            <w:r>
              <w:rPr>
                <w:rFonts w:ascii="Times New Roman" w:hAnsi="Times New Roman" w:cs="Times New Roman"/>
                <w:sz w:val="24"/>
                <w:szCs w:val="24"/>
              </w:rPr>
              <w:t>154.199.485</w:t>
            </w:r>
          </w:p>
        </w:tc>
      </w:tr>
      <w:tr w:rsidR="009E024C" w:rsidRPr="00241E61" w:rsidTr="009E50D4">
        <w:tc>
          <w:tcPr>
            <w:tcW w:w="1838" w:type="dxa"/>
          </w:tcPr>
          <w:p w:rsidR="009E024C" w:rsidRPr="00241E61" w:rsidRDefault="009E024C" w:rsidP="009E50D4">
            <w:pPr>
              <w:spacing w:before="120"/>
              <w:jc w:val="both"/>
              <w:rPr>
                <w:rFonts w:ascii="Times New Roman" w:hAnsi="Times New Roman" w:cs="Times New Roman"/>
                <w:sz w:val="24"/>
                <w:szCs w:val="24"/>
              </w:rPr>
            </w:pPr>
            <w:r w:rsidRPr="00241E61">
              <w:rPr>
                <w:rFonts w:ascii="Times New Roman" w:hAnsi="Times New Roman" w:cs="Times New Roman"/>
                <w:sz w:val="24"/>
                <w:szCs w:val="24"/>
              </w:rPr>
              <w:t>Dospjele obveze</w:t>
            </w:r>
          </w:p>
        </w:tc>
        <w:tc>
          <w:tcPr>
            <w:tcW w:w="3544" w:type="dxa"/>
          </w:tcPr>
          <w:p w:rsidR="009E024C" w:rsidRPr="00241E61" w:rsidRDefault="009E024C" w:rsidP="009E50D4">
            <w:pPr>
              <w:spacing w:before="120"/>
              <w:jc w:val="right"/>
              <w:rPr>
                <w:rFonts w:ascii="Times New Roman" w:hAnsi="Times New Roman" w:cs="Times New Roman"/>
                <w:sz w:val="24"/>
                <w:szCs w:val="24"/>
              </w:rPr>
            </w:pPr>
            <w:r>
              <w:rPr>
                <w:rFonts w:ascii="Times New Roman" w:hAnsi="Times New Roman" w:cs="Times New Roman"/>
                <w:sz w:val="24"/>
                <w:szCs w:val="24"/>
              </w:rPr>
              <w:t>49.585.097</w:t>
            </w:r>
          </w:p>
        </w:tc>
        <w:tc>
          <w:tcPr>
            <w:tcW w:w="3680" w:type="dxa"/>
          </w:tcPr>
          <w:p w:rsidR="009E024C" w:rsidRPr="00241E61" w:rsidRDefault="009E024C" w:rsidP="009E50D4">
            <w:pPr>
              <w:spacing w:before="120"/>
              <w:jc w:val="right"/>
              <w:rPr>
                <w:rFonts w:ascii="Times New Roman" w:hAnsi="Times New Roman" w:cs="Times New Roman"/>
                <w:sz w:val="24"/>
                <w:szCs w:val="24"/>
              </w:rPr>
            </w:pPr>
            <w:r>
              <w:rPr>
                <w:rFonts w:ascii="Times New Roman" w:hAnsi="Times New Roman" w:cs="Times New Roman"/>
                <w:sz w:val="24"/>
                <w:szCs w:val="24"/>
              </w:rPr>
              <w:t>53.891.401</w:t>
            </w:r>
          </w:p>
        </w:tc>
      </w:tr>
    </w:tbl>
    <w:p w:rsidR="009E024C" w:rsidRPr="00241E61" w:rsidRDefault="009E024C" w:rsidP="009E024C">
      <w:pPr>
        <w:spacing w:before="120" w:line="240" w:lineRule="auto"/>
        <w:rPr>
          <w:rFonts w:ascii="Times New Roman" w:hAnsi="Times New Roman" w:cs="Times New Roman"/>
          <w:sz w:val="24"/>
          <w:szCs w:val="24"/>
        </w:rPr>
      </w:pPr>
    </w:p>
    <w:p w:rsidR="009E024C" w:rsidRPr="00241E61" w:rsidRDefault="009E024C" w:rsidP="009E024C">
      <w:pPr>
        <w:pStyle w:val="Zaglavlje"/>
        <w:tabs>
          <w:tab w:val="clear" w:pos="4536"/>
          <w:tab w:val="clear" w:pos="9072"/>
        </w:tabs>
        <w:spacing w:before="120"/>
      </w:pPr>
      <w:r w:rsidRPr="00241E61">
        <w:tab/>
        <w:t>Na dan 31. prosinca 202</w:t>
      </w:r>
      <w:r>
        <w:t>2</w:t>
      </w:r>
      <w:r w:rsidRPr="00241E61">
        <w:t xml:space="preserve">. godine sveukupne obveze KBC-a iznosile su </w:t>
      </w:r>
      <w:r>
        <w:t>131.111.138</w:t>
      </w:r>
      <w:r w:rsidRPr="00241E61">
        <w:t xml:space="preserve"> eura</w:t>
      </w:r>
      <w:r w:rsidRPr="00241E61">
        <w:rPr>
          <w:b/>
        </w:rPr>
        <w:t>.</w:t>
      </w:r>
      <w:r w:rsidRPr="00241E61">
        <w:tab/>
        <w:t xml:space="preserve"> </w:t>
      </w:r>
    </w:p>
    <w:p w:rsidR="009E024C" w:rsidRPr="00241E61" w:rsidRDefault="009E024C" w:rsidP="009E024C">
      <w:pPr>
        <w:pStyle w:val="Zaglavlje"/>
        <w:tabs>
          <w:tab w:val="clear" w:pos="4536"/>
          <w:tab w:val="clear" w:pos="9072"/>
        </w:tabs>
        <w:spacing w:before="120"/>
      </w:pPr>
      <w:r w:rsidRPr="00241E61">
        <w:tab/>
        <w:t>Ukoliko se od navedenih obveza odbiju obveze koje se odnose na isplatu plaće zaposlenicima za mjesec prosinac 202</w:t>
      </w:r>
      <w:r>
        <w:t>2</w:t>
      </w:r>
      <w:r w:rsidRPr="00241E61">
        <w:t xml:space="preserve">. godine, ostale nespomenute obveze i obveze prema HZZO-u za manje izvršen rad, stvarne obveze Bolnice prema dobavljačima na spomenuti dan iznosile su </w:t>
      </w:r>
      <w:r>
        <w:t>53.500.217</w:t>
      </w:r>
      <w:r w:rsidRPr="00241E61">
        <w:t xml:space="preserve"> eura.</w:t>
      </w:r>
    </w:p>
    <w:p w:rsidR="009E024C" w:rsidRPr="00241E61" w:rsidRDefault="009E024C" w:rsidP="009E024C">
      <w:pPr>
        <w:pStyle w:val="Zaglavlje"/>
        <w:tabs>
          <w:tab w:val="clear" w:pos="4536"/>
          <w:tab w:val="clear" w:pos="9072"/>
        </w:tabs>
        <w:spacing w:before="120"/>
      </w:pPr>
      <w:r w:rsidRPr="00241E61">
        <w:lastRenderedPageBreak/>
        <w:tab/>
        <w:t xml:space="preserve">Na ukupno dospjele obveze odnosi se iznos od </w:t>
      </w:r>
      <w:r>
        <w:t>49.585.097</w:t>
      </w:r>
      <w:r w:rsidRPr="00241E61">
        <w:t xml:space="preserve"> eura ili 3</w:t>
      </w:r>
      <w:r>
        <w:t>7</w:t>
      </w:r>
      <w:r w:rsidRPr="00241E61">
        <w:t>,</w:t>
      </w:r>
      <w:r>
        <w:t>82</w:t>
      </w:r>
      <w:r w:rsidRPr="00241E61">
        <w:t>% ukupnih obveza.</w:t>
      </w:r>
    </w:p>
    <w:p w:rsidR="009E024C" w:rsidRPr="00241E61" w:rsidRDefault="009E024C" w:rsidP="009E024C">
      <w:pPr>
        <w:spacing w:before="120"/>
        <w:jc w:val="both"/>
        <w:rPr>
          <w:rFonts w:ascii="Times New Roman" w:hAnsi="Times New Roman" w:cs="Times New Roman"/>
          <w:bCs/>
          <w:sz w:val="24"/>
          <w:szCs w:val="24"/>
        </w:rPr>
      </w:pPr>
      <w:r w:rsidRPr="00241E61">
        <w:rPr>
          <w:rFonts w:ascii="Times New Roman" w:hAnsi="Times New Roman" w:cs="Times New Roman"/>
          <w:b/>
          <w:bCs/>
          <w:sz w:val="24"/>
          <w:szCs w:val="24"/>
        </w:rPr>
        <w:tab/>
      </w:r>
      <w:r w:rsidRPr="00241E61">
        <w:rPr>
          <w:rFonts w:ascii="Times New Roman" w:hAnsi="Times New Roman" w:cs="Times New Roman"/>
          <w:bCs/>
          <w:sz w:val="24"/>
          <w:szCs w:val="24"/>
        </w:rPr>
        <w:t xml:space="preserve">Dospjele obveze preko 90 dana iznose </w:t>
      </w:r>
      <w:r>
        <w:rPr>
          <w:rFonts w:ascii="Times New Roman" w:hAnsi="Times New Roman" w:cs="Times New Roman"/>
          <w:bCs/>
          <w:sz w:val="24"/>
          <w:szCs w:val="24"/>
        </w:rPr>
        <w:t>6.796.131 euro</w:t>
      </w:r>
      <w:r w:rsidRPr="00241E61">
        <w:rPr>
          <w:rFonts w:ascii="Times New Roman" w:hAnsi="Times New Roman" w:cs="Times New Roman"/>
          <w:bCs/>
          <w:sz w:val="24"/>
          <w:szCs w:val="24"/>
        </w:rPr>
        <w:t xml:space="preserve"> što čini </w:t>
      </w:r>
      <w:r>
        <w:rPr>
          <w:rFonts w:ascii="Times New Roman" w:hAnsi="Times New Roman" w:cs="Times New Roman"/>
          <w:bCs/>
          <w:sz w:val="24"/>
          <w:szCs w:val="24"/>
        </w:rPr>
        <w:t>1</w:t>
      </w:r>
      <w:r w:rsidRPr="00241E61">
        <w:rPr>
          <w:rFonts w:ascii="Times New Roman" w:hAnsi="Times New Roman" w:cs="Times New Roman"/>
          <w:bCs/>
          <w:sz w:val="24"/>
          <w:szCs w:val="24"/>
        </w:rPr>
        <w:t>2,</w:t>
      </w:r>
      <w:r>
        <w:rPr>
          <w:rFonts w:ascii="Times New Roman" w:hAnsi="Times New Roman" w:cs="Times New Roman"/>
          <w:bCs/>
          <w:sz w:val="24"/>
          <w:szCs w:val="24"/>
        </w:rPr>
        <w:t>70</w:t>
      </w:r>
      <w:r w:rsidRPr="00241E61">
        <w:rPr>
          <w:rFonts w:ascii="Times New Roman" w:hAnsi="Times New Roman" w:cs="Times New Roman"/>
          <w:bCs/>
          <w:sz w:val="24"/>
          <w:szCs w:val="24"/>
        </w:rPr>
        <w:t xml:space="preserve"> % ukupno dospjelih obveza prema dobavljačima.</w:t>
      </w:r>
    </w:p>
    <w:p w:rsidR="009E024C" w:rsidRPr="00241E61" w:rsidRDefault="009E024C" w:rsidP="009E024C">
      <w:pPr>
        <w:pStyle w:val="Zaglavlje"/>
        <w:tabs>
          <w:tab w:val="clear" w:pos="4536"/>
          <w:tab w:val="clear" w:pos="9072"/>
        </w:tabs>
        <w:spacing w:before="120"/>
        <w:ind w:firstLine="708"/>
        <w:rPr>
          <w:b/>
        </w:rPr>
      </w:pPr>
      <w:r w:rsidRPr="00241E61">
        <w:t>Na dan 30. lipnja 202</w:t>
      </w:r>
      <w:r>
        <w:t>3</w:t>
      </w:r>
      <w:r w:rsidRPr="00241E61">
        <w:t xml:space="preserve">. godine sveukupne obveze KBC-a iznosile su </w:t>
      </w:r>
      <w:r>
        <w:t>154.199.485</w:t>
      </w:r>
      <w:r w:rsidRPr="00241E61">
        <w:t xml:space="preserve"> eura</w:t>
      </w:r>
      <w:r w:rsidRPr="00241E61">
        <w:rPr>
          <w:b/>
        </w:rPr>
        <w:t>.</w:t>
      </w:r>
    </w:p>
    <w:p w:rsidR="009E024C" w:rsidRPr="00241E61" w:rsidRDefault="009E024C" w:rsidP="009E024C">
      <w:pPr>
        <w:pStyle w:val="Zaglavlje"/>
        <w:tabs>
          <w:tab w:val="clear" w:pos="4536"/>
          <w:tab w:val="clear" w:pos="9072"/>
        </w:tabs>
        <w:spacing w:before="120"/>
        <w:ind w:firstLine="708"/>
      </w:pPr>
      <w:r w:rsidRPr="00241E61">
        <w:t>Ukoliko se od navedenih obveza odbiju obveze koje se odnose na isplatu plaće zaposlenicima za mjesec lipanj 202</w:t>
      </w:r>
      <w:r>
        <w:t>3</w:t>
      </w:r>
      <w:r w:rsidRPr="00241E61">
        <w:t xml:space="preserve">. godine, ostale nespomenute obveze i obveze prema HZZO-u za manje izvršen rad, stvarne obveze Bolnice prema dobavljačima na spomenuti dan iznosile su </w:t>
      </w:r>
      <w:r>
        <w:t>74.026.504</w:t>
      </w:r>
      <w:r w:rsidRPr="00241E61">
        <w:t xml:space="preserve"> eura.</w:t>
      </w:r>
    </w:p>
    <w:p w:rsidR="009E024C" w:rsidRPr="00241E61" w:rsidRDefault="009E024C" w:rsidP="009E024C">
      <w:pPr>
        <w:pStyle w:val="Zaglavlje"/>
        <w:tabs>
          <w:tab w:val="clear" w:pos="4536"/>
          <w:tab w:val="clear" w:pos="9072"/>
        </w:tabs>
        <w:spacing w:before="120"/>
      </w:pPr>
      <w:r w:rsidRPr="00241E61">
        <w:tab/>
        <w:t xml:space="preserve">Na ukupno dospjele obveze odnosi se iznos od </w:t>
      </w:r>
      <w:r>
        <w:t>53.891.401</w:t>
      </w:r>
      <w:r w:rsidRPr="00241E61">
        <w:t xml:space="preserve"> eur</w:t>
      </w:r>
      <w:r>
        <w:t>o ili 34</w:t>
      </w:r>
      <w:r w:rsidRPr="00241E61">
        <w:t>,95 % ukupnih obveza.</w:t>
      </w:r>
    </w:p>
    <w:p w:rsidR="009E024C" w:rsidRDefault="009E024C" w:rsidP="009E024C">
      <w:pPr>
        <w:spacing w:before="120"/>
        <w:jc w:val="both"/>
        <w:rPr>
          <w:rFonts w:ascii="Times New Roman" w:hAnsi="Times New Roman" w:cs="Times New Roman"/>
          <w:bCs/>
          <w:sz w:val="24"/>
          <w:szCs w:val="24"/>
        </w:rPr>
      </w:pPr>
      <w:r w:rsidRPr="00241E61">
        <w:rPr>
          <w:rFonts w:ascii="Times New Roman" w:hAnsi="Times New Roman" w:cs="Times New Roman"/>
          <w:b/>
          <w:bCs/>
          <w:sz w:val="24"/>
          <w:szCs w:val="24"/>
        </w:rPr>
        <w:tab/>
      </w:r>
      <w:r w:rsidRPr="00241E61">
        <w:rPr>
          <w:rFonts w:ascii="Times New Roman" w:hAnsi="Times New Roman" w:cs="Times New Roman"/>
          <w:bCs/>
          <w:sz w:val="24"/>
          <w:szCs w:val="24"/>
        </w:rPr>
        <w:t xml:space="preserve">Dospjele obveze preko 90 dana iznose </w:t>
      </w:r>
      <w:r>
        <w:rPr>
          <w:rFonts w:ascii="Times New Roman" w:hAnsi="Times New Roman" w:cs="Times New Roman"/>
          <w:bCs/>
          <w:sz w:val="24"/>
          <w:szCs w:val="24"/>
        </w:rPr>
        <w:t>22.624.724 eura što čini 41</w:t>
      </w:r>
      <w:r w:rsidRPr="00241E61">
        <w:rPr>
          <w:rFonts w:ascii="Times New Roman" w:hAnsi="Times New Roman" w:cs="Times New Roman"/>
          <w:bCs/>
          <w:sz w:val="24"/>
          <w:szCs w:val="24"/>
        </w:rPr>
        <w:t>,</w:t>
      </w:r>
      <w:r>
        <w:rPr>
          <w:rFonts w:ascii="Times New Roman" w:hAnsi="Times New Roman" w:cs="Times New Roman"/>
          <w:bCs/>
          <w:sz w:val="24"/>
          <w:szCs w:val="24"/>
        </w:rPr>
        <w:t xml:space="preserve">98 </w:t>
      </w:r>
      <w:r w:rsidRPr="00241E61">
        <w:rPr>
          <w:rFonts w:ascii="Times New Roman" w:hAnsi="Times New Roman" w:cs="Times New Roman"/>
          <w:bCs/>
          <w:sz w:val="24"/>
          <w:szCs w:val="24"/>
        </w:rPr>
        <w:t>% ukupno dospjelih obveza prema dobavljačima.</w:t>
      </w:r>
    </w:p>
    <w:p w:rsidR="00BE547F" w:rsidRDefault="009E024C" w:rsidP="009E024C">
      <w:pPr>
        <w:spacing w:before="120"/>
        <w:jc w:val="both"/>
        <w:rPr>
          <w:rFonts w:ascii="Times New Roman" w:hAnsi="Times New Roman" w:cs="Times New Roman"/>
          <w:bCs/>
          <w:sz w:val="24"/>
          <w:szCs w:val="24"/>
        </w:rPr>
      </w:pPr>
      <w:r>
        <w:rPr>
          <w:rFonts w:ascii="Times New Roman" w:hAnsi="Times New Roman" w:cs="Times New Roman"/>
          <w:bCs/>
          <w:sz w:val="24"/>
          <w:szCs w:val="24"/>
        </w:rPr>
        <w:tab/>
        <w:t>Detaljniji prikaz stanja obveza KBC Sestre milosrdnice prikazan je u priloženoj tablici „Stanje obveza državnih ustanova u zdravstvu“.</w:t>
      </w:r>
    </w:p>
    <w:p w:rsidR="00BE547F" w:rsidRDefault="00BE547F">
      <w:pPr>
        <w:rPr>
          <w:rFonts w:ascii="Times New Roman" w:hAnsi="Times New Roman" w:cs="Times New Roman"/>
          <w:bCs/>
          <w:sz w:val="24"/>
          <w:szCs w:val="24"/>
        </w:rPr>
      </w:pPr>
      <w:r>
        <w:rPr>
          <w:rFonts w:ascii="Times New Roman" w:hAnsi="Times New Roman" w:cs="Times New Roman"/>
          <w:bCs/>
          <w:sz w:val="24"/>
          <w:szCs w:val="24"/>
        </w:rPr>
        <w:br w:type="page"/>
      </w:r>
    </w:p>
    <w:p w:rsidR="009E024C" w:rsidRPr="00350D58" w:rsidRDefault="009E024C" w:rsidP="00A75F6F">
      <w:pPr>
        <w:rPr>
          <w:rFonts w:ascii="Times New Roman" w:hAnsi="Times New Roman" w:cs="Times New Roman"/>
          <w:bCs/>
          <w:sz w:val="28"/>
          <w:szCs w:val="28"/>
        </w:rPr>
      </w:pPr>
      <w:r w:rsidRPr="00350D58">
        <w:rPr>
          <w:rFonts w:ascii="Times New Roman" w:hAnsi="Times New Roman" w:cs="Times New Roman"/>
          <w:b/>
          <w:bCs/>
          <w:sz w:val="28"/>
          <w:szCs w:val="28"/>
        </w:rPr>
        <w:lastRenderedPageBreak/>
        <w:t>2. OBRAZLOŽENJE POSEBNOG DIJELA FINANCIJSKOG PLANA</w:t>
      </w:r>
    </w:p>
    <w:p w:rsidR="009E024C" w:rsidRPr="009E024C" w:rsidRDefault="009E024C" w:rsidP="00A75F6F">
      <w:pPr>
        <w:spacing w:after="0" w:line="240" w:lineRule="auto"/>
        <w:ind w:right="90" w:firstLine="567"/>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 xml:space="preserve">Klinički bolnički centar Sestre milosrdnice obavlja djelatnost stacionarne zdravstvene zaštite i specijalističko-konzilijarne zdravstvene zaštite (ordinacije, dijagnostičke jedinice, dnevne bolnice i jednodnevne kirurgije, hemodijaliza), te znanstveno nastavnu djelatnost, klinička istraživanja i medicinska vještačenja. </w:t>
      </w:r>
    </w:p>
    <w:p w:rsidR="009E024C" w:rsidRPr="009E024C" w:rsidRDefault="009E024C" w:rsidP="00C945B1">
      <w:pPr>
        <w:spacing w:before="240" w:after="0" w:line="240" w:lineRule="auto"/>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Planirana i izvršena financijska sredstva na razini Ustanove</w:t>
      </w:r>
    </w:p>
    <w:p w:rsidR="009E024C" w:rsidRPr="009E024C" w:rsidRDefault="009E024C" w:rsidP="009E024C">
      <w:pPr>
        <w:spacing w:after="0" w:line="240" w:lineRule="auto"/>
        <w:ind w:left="709" w:right="374"/>
        <w:jc w:val="both"/>
        <w:rPr>
          <w:rFonts w:ascii="Times New Roman" w:eastAsia="Times New Roman" w:hAnsi="Times New Roman" w:cs="Times New Roman"/>
          <w:sz w:val="24"/>
          <w:szCs w:val="24"/>
          <w:lang w:eastAsia="hr-HR"/>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417"/>
        <w:gridCol w:w="1418"/>
        <w:gridCol w:w="1417"/>
        <w:gridCol w:w="1418"/>
        <w:gridCol w:w="958"/>
      </w:tblGrid>
      <w:tr w:rsidR="009E024C" w:rsidRPr="009E024C" w:rsidTr="00450E80">
        <w:tc>
          <w:tcPr>
            <w:tcW w:w="851" w:type="dxa"/>
            <w:shd w:val="clear" w:color="auto" w:fill="auto"/>
          </w:tcPr>
          <w:p w:rsidR="009E024C" w:rsidRPr="009E024C" w:rsidRDefault="009E024C" w:rsidP="009E024C">
            <w:pPr>
              <w:spacing w:before="120" w:after="0" w:line="240" w:lineRule="auto"/>
              <w:ind w:right="-108"/>
              <w:jc w:val="both"/>
              <w:rPr>
                <w:rFonts w:ascii="Times New Roman" w:eastAsia="Times New Roman" w:hAnsi="Times New Roman" w:cs="Times New Roman"/>
                <w:lang w:eastAsia="hr-HR"/>
              </w:rPr>
            </w:pPr>
          </w:p>
        </w:tc>
        <w:tc>
          <w:tcPr>
            <w:tcW w:w="1701" w:type="dxa"/>
            <w:shd w:val="clear" w:color="auto" w:fill="auto"/>
          </w:tcPr>
          <w:p w:rsidR="009E024C" w:rsidRPr="009E024C" w:rsidRDefault="009E024C" w:rsidP="009E024C">
            <w:pPr>
              <w:spacing w:before="120" w:after="0" w:line="240" w:lineRule="auto"/>
              <w:ind w:right="-108"/>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Izvršenje 2022.</w:t>
            </w:r>
          </w:p>
        </w:tc>
        <w:tc>
          <w:tcPr>
            <w:tcW w:w="1417" w:type="dxa"/>
            <w:shd w:val="clear" w:color="auto" w:fill="auto"/>
          </w:tcPr>
          <w:p w:rsidR="009E024C" w:rsidRPr="009E024C" w:rsidRDefault="009E024C" w:rsidP="009E024C">
            <w:pPr>
              <w:spacing w:before="120" w:after="0" w:line="240" w:lineRule="auto"/>
              <w:ind w:right="33"/>
              <w:jc w:val="center"/>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Rebalans I</w:t>
            </w:r>
            <w:r w:rsidR="00511E21">
              <w:rPr>
                <w:rFonts w:ascii="Times New Roman" w:eastAsia="Times New Roman" w:hAnsi="Times New Roman" w:cs="Times New Roman"/>
                <w:lang w:eastAsia="hr-HR"/>
              </w:rPr>
              <w:t>I</w:t>
            </w:r>
            <w:r w:rsidRPr="009E024C">
              <w:rPr>
                <w:rFonts w:ascii="Times New Roman" w:eastAsia="Times New Roman" w:hAnsi="Times New Roman" w:cs="Times New Roman"/>
                <w:lang w:eastAsia="hr-HR"/>
              </w:rPr>
              <w:t xml:space="preserve"> Plana 2023.</w:t>
            </w:r>
          </w:p>
        </w:tc>
        <w:tc>
          <w:tcPr>
            <w:tcW w:w="1418" w:type="dxa"/>
            <w:shd w:val="clear" w:color="auto" w:fill="auto"/>
          </w:tcPr>
          <w:p w:rsidR="009E024C" w:rsidRPr="009E024C" w:rsidRDefault="009E024C" w:rsidP="009E024C">
            <w:pPr>
              <w:spacing w:before="120" w:after="0" w:line="240" w:lineRule="auto"/>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Plan 2024.</w:t>
            </w:r>
          </w:p>
        </w:tc>
        <w:tc>
          <w:tcPr>
            <w:tcW w:w="1417" w:type="dxa"/>
            <w:shd w:val="clear" w:color="auto" w:fill="auto"/>
          </w:tcPr>
          <w:p w:rsidR="009E024C" w:rsidRPr="009E024C" w:rsidRDefault="009E024C" w:rsidP="009E024C">
            <w:pPr>
              <w:spacing w:before="120" w:after="0" w:line="240" w:lineRule="auto"/>
              <w:ind w:right="-108"/>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Plan 2025.</w:t>
            </w:r>
          </w:p>
        </w:tc>
        <w:tc>
          <w:tcPr>
            <w:tcW w:w="1418" w:type="dxa"/>
            <w:shd w:val="clear" w:color="auto" w:fill="auto"/>
          </w:tcPr>
          <w:p w:rsidR="009E024C" w:rsidRPr="009E024C" w:rsidRDefault="009E024C" w:rsidP="009E024C">
            <w:pPr>
              <w:tabs>
                <w:tab w:val="left" w:pos="1160"/>
              </w:tabs>
              <w:spacing w:before="120" w:after="0" w:line="240" w:lineRule="auto"/>
              <w:ind w:right="42"/>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Plan 2026.</w:t>
            </w:r>
          </w:p>
        </w:tc>
        <w:tc>
          <w:tcPr>
            <w:tcW w:w="958" w:type="dxa"/>
            <w:shd w:val="clear" w:color="auto" w:fill="auto"/>
          </w:tcPr>
          <w:p w:rsidR="009E024C" w:rsidRPr="009E024C" w:rsidRDefault="009E024C" w:rsidP="009E024C">
            <w:pPr>
              <w:spacing w:before="120" w:after="0" w:line="240" w:lineRule="auto"/>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Indeks 24/23</w:t>
            </w:r>
          </w:p>
        </w:tc>
      </w:tr>
      <w:tr w:rsidR="00450E80" w:rsidRPr="009E024C" w:rsidTr="00450E80">
        <w:tc>
          <w:tcPr>
            <w:tcW w:w="851" w:type="dxa"/>
            <w:shd w:val="clear" w:color="auto" w:fill="auto"/>
          </w:tcPr>
          <w:p w:rsidR="00450E80" w:rsidRPr="00450E80" w:rsidRDefault="00450E80" w:rsidP="00450E80">
            <w:pPr>
              <w:tabs>
                <w:tab w:val="left" w:pos="670"/>
              </w:tabs>
              <w:spacing w:before="120" w:after="0" w:line="240" w:lineRule="auto"/>
              <w:ind w:right="73"/>
              <w:jc w:val="both"/>
              <w:rPr>
                <w:rFonts w:ascii="Times New Roman" w:eastAsia="Times New Roman" w:hAnsi="Times New Roman" w:cs="Times New Roman"/>
                <w:lang w:eastAsia="hr-HR"/>
              </w:rPr>
            </w:pPr>
            <w:r w:rsidRPr="00450E80">
              <w:rPr>
                <w:rFonts w:ascii="Times New Roman" w:eastAsia="Times New Roman" w:hAnsi="Times New Roman" w:cs="Times New Roman"/>
                <w:lang w:eastAsia="hr-HR"/>
              </w:rPr>
              <w:t>26395</w:t>
            </w:r>
          </w:p>
        </w:tc>
        <w:tc>
          <w:tcPr>
            <w:tcW w:w="1701" w:type="dxa"/>
            <w:shd w:val="clear" w:color="auto" w:fill="auto"/>
          </w:tcPr>
          <w:p w:rsidR="00450E80" w:rsidRPr="00450E80" w:rsidRDefault="00450E80" w:rsidP="00A215D4">
            <w:pPr>
              <w:tabs>
                <w:tab w:val="left" w:pos="670"/>
              </w:tabs>
              <w:spacing w:before="120" w:after="0" w:line="240" w:lineRule="auto"/>
              <w:ind w:right="73"/>
              <w:jc w:val="right"/>
              <w:rPr>
                <w:rFonts w:ascii="Times New Roman" w:eastAsia="Times New Roman" w:hAnsi="Times New Roman" w:cs="Times New Roman"/>
                <w:lang w:eastAsia="hr-HR"/>
              </w:rPr>
            </w:pPr>
            <w:r w:rsidRPr="00450E80">
              <w:rPr>
                <w:rFonts w:ascii="Times New Roman" w:eastAsia="Times New Roman" w:hAnsi="Times New Roman" w:cs="Times New Roman"/>
                <w:lang w:eastAsia="hr-HR"/>
              </w:rPr>
              <w:t>224.161.690,44</w:t>
            </w:r>
          </w:p>
        </w:tc>
        <w:tc>
          <w:tcPr>
            <w:tcW w:w="1417" w:type="dxa"/>
            <w:shd w:val="clear" w:color="auto" w:fill="auto"/>
          </w:tcPr>
          <w:p w:rsidR="00450E80" w:rsidRPr="00450E80" w:rsidRDefault="00450E80" w:rsidP="00A215D4">
            <w:pPr>
              <w:tabs>
                <w:tab w:val="left" w:pos="670"/>
              </w:tabs>
              <w:spacing w:before="120" w:after="0" w:line="240" w:lineRule="auto"/>
              <w:ind w:right="73"/>
              <w:jc w:val="right"/>
              <w:rPr>
                <w:rFonts w:ascii="Times New Roman" w:eastAsia="Times New Roman" w:hAnsi="Times New Roman" w:cs="Times New Roman"/>
                <w:lang w:eastAsia="hr-HR"/>
              </w:rPr>
            </w:pPr>
            <w:r w:rsidRPr="00450E80">
              <w:rPr>
                <w:rFonts w:ascii="Times New Roman" w:eastAsia="Times New Roman" w:hAnsi="Times New Roman" w:cs="Times New Roman"/>
                <w:lang w:eastAsia="hr-HR"/>
              </w:rPr>
              <w:t>275.301.134</w:t>
            </w:r>
          </w:p>
        </w:tc>
        <w:tc>
          <w:tcPr>
            <w:tcW w:w="1418" w:type="dxa"/>
            <w:shd w:val="clear" w:color="auto" w:fill="auto"/>
          </w:tcPr>
          <w:p w:rsidR="00450E80" w:rsidRPr="00450E80" w:rsidRDefault="00450E80" w:rsidP="00A215D4">
            <w:pPr>
              <w:tabs>
                <w:tab w:val="left" w:pos="670"/>
              </w:tabs>
              <w:spacing w:before="120" w:after="0" w:line="240" w:lineRule="auto"/>
              <w:ind w:right="73"/>
              <w:jc w:val="right"/>
              <w:rPr>
                <w:rFonts w:ascii="Times New Roman" w:eastAsia="Times New Roman" w:hAnsi="Times New Roman" w:cs="Times New Roman"/>
                <w:lang w:eastAsia="hr-HR"/>
              </w:rPr>
            </w:pPr>
            <w:r w:rsidRPr="00450E80">
              <w:rPr>
                <w:rFonts w:ascii="Times New Roman" w:eastAsia="Times New Roman" w:hAnsi="Times New Roman" w:cs="Times New Roman"/>
                <w:lang w:eastAsia="hr-HR"/>
              </w:rPr>
              <w:t>284.001.343</w:t>
            </w:r>
          </w:p>
        </w:tc>
        <w:tc>
          <w:tcPr>
            <w:tcW w:w="1417" w:type="dxa"/>
            <w:shd w:val="clear" w:color="auto" w:fill="auto"/>
          </w:tcPr>
          <w:p w:rsidR="00450E80" w:rsidRPr="00450E80" w:rsidRDefault="00450E80" w:rsidP="00A215D4">
            <w:pPr>
              <w:tabs>
                <w:tab w:val="left" w:pos="670"/>
              </w:tabs>
              <w:spacing w:before="120" w:after="0" w:line="240" w:lineRule="auto"/>
              <w:ind w:right="73"/>
              <w:jc w:val="right"/>
              <w:rPr>
                <w:rFonts w:ascii="Times New Roman" w:eastAsia="Times New Roman" w:hAnsi="Times New Roman" w:cs="Times New Roman"/>
                <w:lang w:eastAsia="hr-HR"/>
              </w:rPr>
            </w:pPr>
            <w:r w:rsidRPr="00450E80">
              <w:rPr>
                <w:rFonts w:ascii="Times New Roman" w:eastAsia="Times New Roman" w:hAnsi="Times New Roman" w:cs="Times New Roman"/>
                <w:lang w:eastAsia="hr-HR"/>
              </w:rPr>
              <w:t>283.785.777</w:t>
            </w:r>
          </w:p>
        </w:tc>
        <w:tc>
          <w:tcPr>
            <w:tcW w:w="1418" w:type="dxa"/>
            <w:shd w:val="clear" w:color="auto" w:fill="auto"/>
          </w:tcPr>
          <w:p w:rsidR="00450E80" w:rsidRPr="00450E80" w:rsidRDefault="00450E80" w:rsidP="00A215D4">
            <w:pPr>
              <w:tabs>
                <w:tab w:val="left" w:pos="670"/>
              </w:tabs>
              <w:spacing w:before="120" w:after="0" w:line="240" w:lineRule="auto"/>
              <w:ind w:right="73"/>
              <w:jc w:val="right"/>
              <w:rPr>
                <w:rFonts w:ascii="Times New Roman" w:eastAsia="Times New Roman" w:hAnsi="Times New Roman" w:cs="Times New Roman"/>
                <w:lang w:eastAsia="hr-HR"/>
              </w:rPr>
            </w:pPr>
            <w:r w:rsidRPr="00450E80">
              <w:rPr>
                <w:rFonts w:ascii="Times New Roman" w:eastAsia="Times New Roman" w:hAnsi="Times New Roman" w:cs="Times New Roman"/>
                <w:lang w:eastAsia="hr-HR"/>
              </w:rPr>
              <w:t>302.243.483</w:t>
            </w:r>
          </w:p>
        </w:tc>
        <w:tc>
          <w:tcPr>
            <w:tcW w:w="958" w:type="dxa"/>
            <w:shd w:val="clear" w:color="auto" w:fill="auto"/>
          </w:tcPr>
          <w:p w:rsidR="00450E80" w:rsidRPr="00450E80" w:rsidRDefault="00450E80" w:rsidP="00450E80">
            <w:pPr>
              <w:tabs>
                <w:tab w:val="left" w:pos="670"/>
              </w:tabs>
              <w:spacing w:before="120" w:after="0" w:line="240" w:lineRule="auto"/>
              <w:ind w:right="73"/>
              <w:jc w:val="both"/>
              <w:rPr>
                <w:rFonts w:ascii="Times New Roman" w:eastAsia="Times New Roman" w:hAnsi="Times New Roman" w:cs="Times New Roman"/>
                <w:lang w:eastAsia="hr-HR"/>
              </w:rPr>
            </w:pPr>
            <w:r>
              <w:rPr>
                <w:rFonts w:ascii="Times New Roman" w:eastAsia="Times New Roman" w:hAnsi="Times New Roman" w:cs="Times New Roman"/>
                <w:lang w:eastAsia="hr-HR"/>
              </w:rPr>
              <w:t>103,16</w:t>
            </w:r>
          </w:p>
        </w:tc>
      </w:tr>
    </w:tbl>
    <w:p w:rsidR="009E024C" w:rsidRPr="009E024C" w:rsidRDefault="009E024C" w:rsidP="00C945B1">
      <w:pPr>
        <w:spacing w:before="120" w:after="0" w:line="240" w:lineRule="auto"/>
        <w:ind w:right="91" w:firstLine="709"/>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 xml:space="preserve">Financijski plan za 2024. godinu predviđa ukupne rashode za sve aktivnosti u iznosu od </w:t>
      </w:r>
      <w:r w:rsidR="00450E80">
        <w:rPr>
          <w:rFonts w:ascii="Times New Roman" w:eastAsia="Times New Roman" w:hAnsi="Times New Roman" w:cs="Times New Roman"/>
          <w:sz w:val="24"/>
          <w:szCs w:val="24"/>
          <w:lang w:eastAsia="hr-HR"/>
        </w:rPr>
        <w:t>284.001.343</w:t>
      </w:r>
      <w:r w:rsidRPr="009E024C">
        <w:rPr>
          <w:rFonts w:ascii="Times New Roman" w:eastAsia="Times New Roman" w:hAnsi="Times New Roman" w:cs="Times New Roman"/>
          <w:sz w:val="24"/>
          <w:szCs w:val="24"/>
          <w:lang w:eastAsia="hr-HR"/>
        </w:rPr>
        <w:t xml:space="preserve"> eura.</w:t>
      </w:r>
    </w:p>
    <w:p w:rsidR="009E024C" w:rsidRPr="009E024C" w:rsidRDefault="009E024C" w:rsidP="00A75F6F">
      <w:pPr>
        <w:spacing w:before="120" w:after="0" w:line="240" w:lineRule="auto"/>
        <w:ind w:right="90" w:firstLine="7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Ukupni rashodi usmjereni su prije svega na održavanje postojeće kvalitete u pružanju zdravstvene zaštite bolesnicima, te poboljšanje uvjeta funkcioniranja razvojem pojedinih djelatnosti putem projekata financiranih od strane Europske unije.</w:t>
      </w:r>
    </w:p>
    <w:p w:rsidR="009E024C" w:rsidRDefault="009E024C" w:rsidP="009E024C">
      <w:pPr>
        <w:spacing w:after="0" w:line="240" w:lineRule="auto"/>
        <w:ind w:left="709" w:right="657"/>
        <w:jc w:val="both"/>
        <w:rPr>
          <w:rFonts w:ascii="Times New Roman" w:eastAsia="Times New Roman" w:hAnsi="Times New Roman" w:cs="Times New Roman"/>
          <w:b/>
          <w:sz w:val="28"/>
          <w:szCs w:val="28"/>
          <w:lang w:eastAsia="hr-HR"/>
        </w:rPr>
      </w:pPr>
    </w:p>
    <w:p w:rsidR="009E024C" w:rsidRPr="00914CF8" w:rsidRDefault="009E024C" w:rsidP="00350D58">
      <w:pPr>
        <w:spacing w:after="120" w:line="240" w:lineRule="auto"/>
        <w:ind w:right="658"/>
        <w:jc w:val="both"/>
        <w:rPr>
          <w:rFonts w:ascii="Times New Roman" w:eastAsia="Times New Roman" w:hAnsi="Times New Roman" w:cs="Times New Roman"/>
          <w:b/>
          <w:sz w:val="24"/>
          <w:szCs w:val="24"/>
          <w:lang w:eastAsia="hr-HR"/>
        </w:rPr>
      </w:pPr>
      <w:r w:rsidRPr="00914CF8">
        <w:rPr>
          <w:rFonts w:ascii="Times New Roman" w:eastAsia="Times New Roman" w:hAnsi="Times New Roman" w:cs="Times New Roman"/>
          <w:b/>
          <w:sz w:val="24"/>
          <w:szCs w:val="24"/>
          <w:lang w:eastAsia="hr-HR"/>
        </w:rPr>
        <w:t>3602 INVESTICIJE U ZDRAVSTVENU INFRASTRUKTURU</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417"/>
        <w:gridCol w:w="1418"/>
        <w:gridCol w:w="1417"/>
        <w:gridCol w:w="1418"/>
        <w:gridCol w:w="958"/>
      </w:tblGrid>
      <w:tr w:rsidR="00350D58" w:rsidRPr="009E024C" w:rsidTr="00B156FC">
        <w:tc>
          <w:tcPr>
            <w:tcW w:w="851" w:type="dxa"/>
            <w:shd w:val="clear" w:color="auto" w:fill="auto"/>
          </w:tcPr>
          <w:p w:rsidR="00350D58" w:rsidRPr="009E024C" w:rsidRDefault="00350D58" w:rsidP="00B156FC">
            <w:pPr>
              <w:spacing w:before="120" w:after="0" w:line="240" w:lineRule="auto"/>
              <w:ind w:right="-108"/>
              <w:jc w:val="both"/>
              <w:rPr>
                <w:rFonts w:ascii="Times New Roman" w:eastAsia="Times New Roman" w:hAnsi="Times New Roman" w:cs="Times New Roman"/>
                <w:lang w:eastAsia="hr-HR"/>
              </w:rPr>
            </w:pPr>
          </w:p>
        </w:tc>
        <w:tc>
          <w:tcPr>
            <w:tcW w:w="1701" w:type="dxa"/>
            <w:shd w:val="clear" w:color="auto" w:fill="auto"/>
          </w:tcPr>
          <w:p w:rsidR="00350D58" w:rsidRPr="009E024C" w:rsidRDefault="00350D58" w:rsidP="00B156FC">
            <w:pPr>
              <w:spacing w:before="120" w:after="0" w:line="240" w:lineRule="auto"/>
              <w:ind w:right="-108"/>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Izvršenje 2022.</w:t>
            </w:r>
          </w:p>
        </w:tc>
        <w:tc>
          <w:tcPr>
            <w:tcW w:w="1417" w:type="dxa"/>
            <w:shd w:val="clear" w:color="auto" w:fill="auto"/>
          </w:tcPr>
          <w:p w:rsidR="00350D58" w:rsidRPr="009E024C" w:rsidRDefault="00350D58" w:rsidP="00B156FC">
            <w:pPr>
              <w:spacing w:before="120" w:after="0" w:line="240" w:lineRule="auto"/>
              <w:ind w:right="33"/>
              <w:jc w:val="center"/>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Rebalans I</w:t>
            </w:r>
            <w:r>
              <w:rPr>
                <w:rFonts w:ascii="Times New Roman" w:eastAsia="Times New Roman" w:hAnsi="Times New Roman" w:cs="Times New Roman"/>
                <w:lang w:eastAsia="hr-HR"/>
              </w:rPr>
              <w:t>I</w:t>
            </w:r>
            <w:r w:rsidRPr="009E024C">
              <w:rPr>
                <w:rFonts w:ascii="Times New Roman" w:eastAsia="Times New Roman" w:hAnsi="Times New Roman" w:cs="Times New Roman"/>
                <w:lang w:eastAsia="hr-HR"/>
              </w:rPr>
              <w:t xml:space="preserve"> Plana 2023.</w:t>
            </w:r>
          </w:p>
        </w:tc>
        <w:tc>
          <w:tcPr>
            <w:tcW w:w="1418" w:type="dxa"/>
            <w:shd w:val="clear" w:color="auto" w:fill="auto"/>
          </w:tcPr>
          <w:p w:rsidR="00350D58" w:rsidRPr="009E024C" w:rsidRDefault="00350D58" w:rsidP="00C945B1">
            <w:pPr>
              <w:spacing w:before="120" w:after="0" w:line="240" w:lineRule="auto"/>
              <w:jc w:val="center"/>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Plan 2024.</w:t>
            </w:r>
          </w:p>
        </w:tc>
        <w:tc>
          <w:tcPr>
            <w:tcW w:w="1417" w:type="dxa"/>
            <w:shd w:val="clear" w:color="auto" w:fill="auto"/>
          </w:tcPr>
          <w:p w:rsidR="00350D58" w:rsidRPr="009E024C" w:rsidRDefault="00350D58" w:rsidP="00C945B1">
            <w:pPr>
              <w:spacing w:before="120" w:after="0" w:line="240" w:lineRule="auto"/>
              <w:ind w:right="-108"/>
              <w:jc w:val="center"/>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Plan 2025.</w:t>
            </w:r>
          </w:p>
        </w:tc>
        <w:tc>
          <w:tcPr>
            <w:tcW w:w="1418" w:type="dxa"/>
            <w:shd w:val="clear" w:color="auto" w:fill="auto"/>
          </w:tcPr>
          <w:p w:rsidR="00350D58" w:rsidRPr="009E024C" w:rsidRDefault="00350D58" w:rsidP="00C945B1">
            <w:pPr>
              <w:tabs>
                <w:tab w:val="left" w:pos="1160"/>
              </w:tabs>
              <w:spacing w:before="120" w:after="0" w:line="240" w:lineRule="auto"/>
              <w:ind w:right="42"/>
              <w:jc w:val="center"/>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Plan 2026.</w:t>
            </w:r>
          </w:p>
        </w:tc>
        <w:tc>
          <w:tcPr>
            <w:tcW w:w="958" w:type="dxa"/>
            <w:shd w:val="clear" w:color="auto" w:fill="auto"/>
          </w:tcPr>
          <w:p w:rsidR="00350D58" w:rsidRPr="009E024C" w:rsidRDefault="00350D58" w:rsidP="00B156FC">
            <w:pPr>
              <w:spacing w:before="120" w:after="0" w:line="240" w:lineRule="auto"/>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Indeks 24/23</w:t>
            </w:r>
          </w:p>
        </w:tc>
      </w:tr>
      <w:tr w:rsidR="00350D58" w:rsidRPr="009E024C" w:rsidTr="00B156FC">
        <w:tc>
          <w:tcPr>
            <w:tcW w:w="851" w:type="dxa"/>
            <w:shd w:val="clear" w:color="auto" w:fill="auto"/>
          </w:tcPr>
          <w:p w:rsidR="00350D58" w:rsidRPr="00450E80" w:rsidRDefault="00350D58" w:rsidP="00B156FC">
            <w:pPr>
              <w:tabs>
                <w:tab w:val="left" w:pos="670"/>
              </w:tabs>
              <w:spacing w:before="120" w:after="0" w:line="240" w:lineRule="auto"/>
              <w:ind w:right="73"/>
              <w:jc w:val="both"/>
              <w:rPr>
                <w:rFonts w:ascii="Times New Roman" w:eastAsia="Times New Roman" w:hAnsi="Times New Roman" w:cs="Times New Roman"/>
                <w:lang w:eastAsia="hr-HR"/>
              </w:rPr>
            </w:pPr>
            <w:r>
              <w:rPr>
                <w:rFonts w:ascii="Times New Roman" w:eastAsia="Times New Roman" w:hAnsi="Times New Roman" w:cs="Times New Roman"/>
                <w:lang w:eastAsia="hr-HR"/>
              </w:rPr>
              <w:t>3602</w:t>
            </w:r>
          </w:p>
        </w:tc>
        <w:tc>
          <w:tcPr>
            <w:tcW w:w="1701" w:type="dxa"/>
            <w:shd w:val="clear" w:color="auto" w:fill="auto"/>
          </w:tcPr>
          <w:p w:rsidR="00350D58" w:rsidRPr="00450E80" w:rsidRDefault="007B73E4" w:rsidP="00350D58">
            <w:pPr>
              <w:tabs>
                <w:tab w:val="left" w:pos="670"/>
              </w:tabs>
              <w:spacing w:before="120" w:after="0" w:line="240" w:lineRule="auto"/>
              <w:ind w:right="73"/>
              <w:jc w:val="right"/>
              <w:rPr>
                <w:rFonts w:ascii="Times New Roman" w:eastAsia="Times New Roman" w:hAnsi="Times New Roman" w:cs="Times New Roman"/>
                <w:lang w:eastAsia="hr-HR"/>
              </w:rPr>
            </w:pPr>
            <w:r>
              <w:rPr>
                <w:rFonts w:ascii="Times New Roman" w:eastAsia="Times New Roman" w:hAnsi="Times New Roman" w:cs="Times New Roman"/>
                <w:lang w:eastAsia="hr-HR"/>
              </w:rPr>
              <w:t>6.234.321,58</w:t>
            </w:r>
          </w:p>
        </w:tc>
        <w:tc>
          <w:tcPr>
            <w:tcW w:w="1417" w:type="dxa"/>
            <w:shd w:val="clear" w:color="auto" w:fill="auto"/>
          </w:tcPr>
          <w:p w:rsidR="00350D58" w:rsidRPr="00450E80" w:rsidRDefault="00350D58" w:rsidP="00350D58">
            <w:pPr>
              <w:tabs>
                <w:tab w:val="left" w:pos="670"/>
              </w:tabs>
              <w:spacing w:before="120" w:after="0" w:line="240" w:lineRule="auto"/>
              <w:ind w:right="73"/>
              <w:jc w:val="right"/>
              <w:rPr>
                <w:rFonts w:ascii="Times New Roman" w:eastAsia="Times New Roman" w:hAnsi="Times New Roman" w:cs="Times New Roman"/>
                <w:lang w:eastAsia="hr-HR"/>
              </w:rPr>
            </w:pPr>
            <w:r>
              <w:rPr>
                <w:rFonts w:ascii="Times New Roman" w:eastAsia="Times New Roman" w:hAnsi="Times New Roman" w:cs="Times New Roman"/>
                <w:lang w:eastAsia="hr-HR"/>
              </w:rPr>
              <w:t>48.024.178</w:t>
            </w:r>
          </w:p>
        </w:tc>
        <w:tc>
          <w:tcPr>
            <w:tcW w:w="1418" w:type="dxa"/>
            <w:shd w:val="clear" w:color="auto" w:fill="auto"/>
          </w:tcPr>
          <w:p w:rsidR="00350D58" w:rsidRPr="00450E80" w:rsidRDefault="00350D58" w:rsidP="00350D58">
            <w:pPr>
              <w:tabs>
                <w:tab w:val="left" w:pos="670"/>
              </w:tabs>
              <w:spacing w:before="120" w:after="0" w:line="240" w:lineRule="auto"/>
              <w:ind w:right="73"/>
              <w:jc w:val="right"/>
              <w:rPr>
                <w:rFonts w:ascii="Times New Roman" w:eastAsia="Times New Roman" w:hAnsi="Times New Roman" w:cs="Times New Roman"/>
                <w:lang w:eastAsia="hr-HR"/>
              </w:rPr>
            </w:pPr>
            <w:r>
              <w:rPr>
                <w:rFonts w:ascii="Times New Roman" w:eastAsia="Times New Roman" w:hAnsi="Times New Roman" w:cs="Times New Roman"/>
                <w:lang w:eastAsia="hr-HR"/>
              </w:rPr>
              <w:t>3</w:t>
            </w:r>
            <w:r w:rsidRPr="00450E80">
              <w:rPr>
                <w:rFonts w:ascii="Times New Roman" w:eastAsia="Times New Roman" w:hAnsi="Times New Roman" w:cs="Times New Roman"/>
                <w:lang w:eastAsia="hr-HR"/>
              </w:rPr>
              <w:t>3</w:t>
            </w:r>
            <w:r>
              <w:rPr>
                <w:rFonts w:ascii="Times New Roman" w:eastAsia="Times New Roman" w:hAnsi="Times New Roman" w:cs="Times New Roman"/>
                <w:lang w:eastAsia="hr-HR"/>
              </w:rPr>
              <w:t>.329.300</w:t>
            </w:r>
          </w:p>
        </w:tc>
        <w:tc>
          <w:tcPr>
            <w:tcW w:w="1417" w:type="dxa"/>
            <w:shd w:val="clear" w:color="auto" w:fill="auto"/>
          </w:tcPr>
          <w:p w:rsidR="00350D58" w:rsidRPr="00450E80" w:rsidRDefault="00350D58" w:rsidP="00350D58">
            <w:pPr>
              <w:tabs>
                <w:tab w:val="left" w:pos="670"/>
              </w:tabs>
              <w:spacing w:before="120" w:after="0" w:line="240" w:lineRule="auto"/>
              <w:ind w:right="73"/>
              <w:jc w:val="right"/>
              <w:rPr>
                <w:rFonts w:ascii="Times New Roman" w:eastAsia="Times New Roman" w:hAnsi="Times New Roman" w:cs="Times New Roman"/>
                <w:lang w:eastAsia="hr-HR"/>
              </w:rPr>
            </w:pPr>
            <w:r>
              <w:rPr>
                <w:rFonts w:ascii="Times New Roman" w:eastAsia="Times New Roman" w:hAnsi="Times New Roman" w:cs="Times New Roman"/>
                <w:lang w:eastAsia="hr-HR"/>
              </w:rPr>
              <w:t>13.481.585</w:t>
            </w:r>
          </w:p>
        </w:tc>
        <w:tc>
          <w:tcPr>
            <w:tcW w:w="1418" w:type="dxa"/>
            <w:shd w:val="clear" w:color="auto" w:fill="auto"/>
          </w:tcPr>
          <w:p w:rsidR="00350D58" w:rsidRPr="00450E80" w:rsidRDefault="00350D58" w:rsidP="00350D58">
            <w:pPr>
              <w:tabs>
                <w:tab w:val="left" w:pos="670"/>
              </w:tabs>
              <w:spacing w:before="120" w:after="0" w:line="240" w:lineRule="auto"/>
              <w:ind w:right="73"/>
              <w:jc w:val="right"/>
              <w:rPr>
                <w:rFonts w:ascii="Times New Roman" w:eastAsia="Times New Roman" w:hAnsi="Times New Roman" w:cs="Times New Roman"/>
                <w:lang w:eastAsia="hr-HR"/>
              </w:rPr>
            </w:pPr>
            <w:r>
              <w:rPr>
                <w:rFonts w:ascii="Times New Roman" w:eastAsia="Times New Roman" w:hAnsi="Times New Roman" w:cs="Times New Roman"/>
                <w:lang w:eastAsia="hr-HR"/>
              </w:rPr>
              <w:t>10.404.729</w:t>
            </w:r>
          </w:p>
        </w:tc>
        <w:tc>
          <w:tcPr>
            <w:tcW w:w="958" w:type="dxa"/>
            <w:shd w:val="clear" w:color="auto" w:fill="auto"/>
          </w:tcPr>
          <w:p w:rsidR="00350D58" w:rsidRPr="00450E80" w:rsidRDefault="00350D58" w:rsidP="00350D58">
            <w:pPr>
              <w:tabs>
                <w:tab w:val="left" w:pos="670"/>
              </w:tabs>
              <w:spacing w:before="120" w:after="0" w:line="240" w:lineRule="auto"/>
              <w:ind w:right="73"/>
              <w:jc w:val="right"/>
              <w:rPr>
                <w:rFonts w:ascii="Times New Roman" w:eastAsia="Times New Roman" w:hAnsi="Times New Roman" w:cs="Times New Roman"/>
                <w:lang w:eastAsia="hr-HR"/>
              </w:rPr>
            </w:pPr>
            <w:r>
              <w:rPr>
                <w:rFonts w:ascii="Times New Roman" w:eastAsia="Times New Roman" w:hAnsi="Times New Roman" w:cs="Times New Roman"/>
                <w:lang w:eastAsia="hr-HR"/>
              </w:rPr>
              <w:t>69,40</w:t>
            </w:r>
          </w:p>
        </w:tc>
      </w:tr>
    </w:tbl>
    <w:p w:rsidR="009E024C" w:rsidRPr="00914CF8" w:rsidRDefault="009E024C" w:rsidP="009E024C">
      <w:pPr>
        <w:spacing w:after="0" w:line="240" w:lineRule="auto"/>
        <w:ind w:left="709" w:right="657"/>
        <w:jc w:val="both"/>
        <w:rPr>
          <w:rFonts w:ascii="Times New Roman" w:eastAsia="Times New Roman" w:hAnsi="Times New Roman" w:cs="Times New Roman"/>
          <w:b/>
          <w:sz w:val="24"/>
          <w:szCs w:val="24"/>
          <w:lang w:eastAsia="hr-HR"/>
        </w:rPr>
      </w:pPr>
    </w:p>
    <w:p w:rsidR="009E024C" w:rsidRPr="009E024C" w:rsidRDefault="009E024C" w:rsidP="00A75F6F">
      <w:pPr>
        <w:spacing w:after="0" w:line="240" w:lineRule="auto"/>
        <w:ind w:right="657"/>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Cilj 1. Zaštita, očuvanje i unapređenje zdravlja</w:t>
      </w:r>
    </w:p>
    <w:p w:rsidR="009E024C" w:rsidRPr="009E024C" w:rsidRDefault="009E024C" w:rsidP="009E024C">
      <w:pPr>
        <w:spacing w:after="0" w:line="240" w:lineRule="auto"/>
        <w:ind w:left="709" w:right="657"/>
        <w:jc w:val="both"/>
        <w:rPr>
          <w:rFonts w:ascii="Times New Roman" w:eastAsia="Times New Roman" w:hAnsi="Times New Roman" w:cs="Times New Roman"/>
          <w:b/>
          <w:sz w:val="24"/>
          <w:szCs w:val="24"/>
          <w:lang w:eastAsia="hr-HR"/>
        </w:rPr>
      </w:pPr>
    </w:p>
    <w:p w:rsidR="009E024C" w:rsidRPr="009E024C" w:rsidRDefault="009E024C" w:rsidP="00A75F6F">
      <w:pPr>
        <w:spacing w:before="120" w:after="0" w:line="240" w:lineRule="auto"/>
        <w:ind w:right="374"/>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I  Aktivnost K895002 – IZRAVNA KAPITALNA ULAGANJA</w:t>
      </w:r>
    </w:p>
    <w:p w:rsidR="009E024C" w:rsidRPr="009E024C" w:rsidRDefault="009E024C" w:rsidP="00A75F6F">
      <w:pPr>
        <w:spacing w:before="120" w:after="0" w:line="240" w:lineRule="auto"/>
        <w:ind w:right="90"/>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Zakonske i druge pravne osnove</w:t>
      </w:r>
    </w:p>
    <w:p w:rsidR="00201D86" w:rsidRDefault="009E024C" w:rsidP="00A75F6F">
      <w:pPr>
        <w:spacing w:before="120" w:after="0" w:line="240" w:lineRule="auto"/>
        <w:ind w:right="90"/>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 xml:space="preserve">Zakon o zdravstvenoj zaštiti; Zakon o obveznom zdravstvenom osiguranju; </w:t>
      </w:r>
      <w:r w:rsidR="00201D86" w:rsidRPr="00201D86">
        <w:rPr>
          <w:rFonts w:ascii="Times New Roman" w:eastAsia="Times New Roman" w:hAnsi="Times New Roman" w:cs="Times New Roman"/>
          <w:sz w:val="24"/>
          <w:szCs w:val="24"/>
          <w:lang w:eastAsia="hr-HR"/>
        </w:rPr>
        <w:t>Odluka o proračunskom okviru za razdoblje 2024. - 2026.</w:t>
      </w:r>
    </w:p>
    <w:p w:rsidR="009E024C" w:rsidRPr="009E024C" w:rsidRDefault="009E024C" w:rsidP="00A77817">
      <w:pPr>
        <w:tabs>
          <w:tab w:val="left" w:pos="851"/>
        </w:tabs>
        <w:spacing w:before="240" w:after="0" w:line="240" w:lineRule="auto"/>
        <w:ind w:right="374"/>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Planirana i izvršena financijska sredstva na razini aktivnosti</w:t>
      </w:r>
    </w:p>
    <w:p w:rsidR="009E024C" w:rsidRPr="009E024C" w:rsidRDefault="009E024C" w:rsidP="009E024C">
      <w:pPr>
        <w:spacing w:after="0" w:line="240" w:lineRule="auto"/>
        <w:ind w:left="709" w:right="374"/>
        <w:jc w:val="both"/>
        <w:rPr>
          <w:rFonts w:ascii="Times New Roman" w:eastAsia="Times New Roman" w:hAnsi="Times New Roman" w:cs="Times New Roman"/>
          <w:sz w:val="24"/>
          <w:szCs w:val="24"/>
          <w:lang w:eastAsia="hr-HR"/>
        </w:rPr>
      </w:pPr>
    </w:p>
    <w:tbl>
      <w:tblPr>
        <w:tblW w:w="90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544"/>
        <w:gridCol w:w="1245"/>
        <w:gridCol w:w="1382"/>
        <w:gridCol w:w="1306"/>
        <w:gridCol w:w="1322"/>
        <w:gridCol w:w="968"/>
      </w:tblGrid>
      <w:tr w:rsidR="009E024C" w:rsidRPr="009E024C" w:rsidTr="00450E80">
        <w:trPr>
          <w:trHeight w:val="540"/>
        </w:trPr>
        <w:tc>
          <w:tcPr>
            <w:tcW w:w="1327" w:type="dxa"/>
            <w:shd w:val="clear" w:color="auto" w:fill="auto"/>
          </w:tcPr>
          <w:p w:rsidR="009E024C" w:rsidRPr="00A215D4" w:rsidRDefault="009E024C" w:rsidP="009E024C">
            <w:pPr>
              <w:spacing w:before="120" w:after="0" w:line="240" w:lineRule="auto"/>
              <w:ind w:right="116"/>
              <w:jc w:val="both"/>
              <w:rPr>
                <w:rFonts w:ascii="Times New Roman" w:eastAsia="Times New Roman" w:hAnsi="Times New Roman" w:cs="Times New Roman"/>
                <w:lang w:eastAsia="hr-HR"/>
              </w:rPr>
            </w:pPr>
            <w:r w:rsidRPr="00A215D4">
              <w:rPr>
                <w:rFonts w:ascii="Times New Roman" w:eastAsia="Times New Roman" w:hAnsi="Times New Roman" w:cs="Times New Roman"/>
                <w:lang w:eastAsia="hr-HR"/>
              </w:rPr>
              <w:t>Naziv aktivnosti</w:t>
            </w:r>
          </w:p>
        </w:tc>
        <w:tc>
          <w:tcPr>
            <w:tcW w:w="1544" w:type="dxa"/>
            <w:shd w:val="clear" w:color="auto" w:fill="auto"/>
          </w:tcPr>
          <w:p w:rsidR="009E024C" w:rsidRPr="00A215D4" w:rsidRDefault="009E024C" w:rsidP="009E024C">
            <w:pPr>
              <w:spacing w:before="120" w:after="0" w:line="240" w:lineRule="auto"/>
              <w:ind w:right="-108"/>
              <w:jc w:val="both"/>
              <w:rPr>
                <w:rFonts w:ascii="Times New Roman" w:eastAsia="Times New Roman" w:hAnsi="Times New Roman" w:cs="Times New Roman"/>
                <w:lang w:eastAsia="hr-HR"/>
              </w:rPr>
            </w:pPr>
            <w:r w:rsidRPr="00A215D4">
              <w:rPr>
                <w:rFonts w:ascii="Times New Roman" w:eastAsia="Times New Roman" w:hAnsi="Times New Roman" w:cs="Times New Roman"/>
                <w:lang w:eastAsia="hr-HR"/>
              </w:rPr>
              <w:t>Izvršenje 2022.</w:t>
            </w:r>
          </w:p>
        </w:tc>
        <w:tc>
          <w:tcPr>
            <w:tcW w:w="1245" w:type="dxa"/>
            <w:shd w:val="clear" w:color="auto" w:fill="auto"/>
          </w:tcPr>
          <w:p w:rsidR="009E024C" w:rsidRPr="00A215D4" w:rsidRDefault="00511E21" w:rsidP="00A215D4">
            <w:pPr>
              <w:spacing w:before="120" w:after="0" w:line="240" w:lineRule="auto"/>
              <w:jc w:val="both"/>
              <w:rPr>
                <w:rFonts w:ascii="Times New Roman" w:eastAsia="Times New Roman" w:hAnsi="Times New Roman" w:cs="Times New Roman"/>
                <w:lang w:eastAsia="hr-HR"/>
              </w:rPr>
            </w:pPr>
            <w:r w:rsidRPr="00A215D4">
              <w:rPr>
                <w:rFonts w:ascii="Times New Roman" w:eastAsia="Times New Roman" w:hAnsi="Times New Roman" w:cs="Times New Roman"/>
                <w:lang w:eastAsia="hr-HR"/>
              </w:rPr>
              <w:t xml:space="preserve">Rebalans II Plana </w:t>
            </w:r>
            <w:r w:rsidR="00A215D4">
              <w:rPr>
                <w:rFonts w:ascii="Times New Roman" w:eastAsia="Times New Roman" w:hAnsi="Times New Roman" w:cs="Times New Roman"/>
                <w:lang w:eastAsia="hr-HR"/>
              </w:rPr>
              <w:t>2</w:t>
            </w:r>
            <w:r w:rsidRPr="00A215D4">
              <w:rPr>
                <w:rFonts w:ascii="Times New Roman" w:eastAsia="Times New Roman" w:hAnsi="Times New Roman" w:cs="Times New Roman"/>
                <w:lang w:eastAsia="hr-HR"/>
              </w:rPr>
              <w:t>023.</w:t>
            </w:r>
          </w:p>
        </w:tc>
        <w:tc>
          <w:tcPr>
            <w:tcW w:w="1382" w:type="dxa"/>
            <w:shd w:val="clear" w:color="auto" w:fill="auto"/>
          </w:tcPr>
          <w:p w:rsidR="009E024C" w:rsidRPr="00A215D4" w:rsidRDefault="009E024C" w:rsidP="00A215D4">
            <w:pPr>
              <w:spacing w:before="120" w:after="0" w:line="240" w:lineRule="auto"/>
              <w:jc w:val="center"/>
              <w:rPr>
                <w:rFonts w:ascii="Times New Roman" w:eastAsia="Times New Roman" w:hAnsi="Times New Roman" w:cs="Times New Roman"/>
                <w:lang w:eastAsia="hr-HR"/>
              </w:rPr>
            </w:pPr>
            <w:r w:rsidRPr="00A215D4">
              <w:rPr>
                <w:rFonts w:ascii="Times New Roman" w:eastAsia="Times New Roman" w:hAnsi="Times New Roman" w:cs="Times New Roman"/>
                <w:lang w:eastAsia="hr-HR"/>
              </w:rPr>
              <w:t>Plan 2024.</w:t>
            </w:r>
          </w:p>
        </w:tc>
        <w:tc>
          <w:tcPr>
            <w:tcW w:w="1306" w:type="dxa"/>
            <w:shd w:val="clear" w:color="auto" w:fill="auto"/>
          </w:tcPr>
          <w:p w:rsidR="009E024C" w:rsidRPr="00A215D4" w:rsidRDefault="009E024C" w:rsidP="00A215D4">
            <w:pPr>
              <w:spacing w:before="120" w:after="0" w:line="240" w:lineRule="auto"/>
              <w:ind w:right="-108"/>
              <w:jc w:val="center"/>
              <w:rPr>
                <w:rFonts w:ascii="Times New Roman" w:eastAsia="Times New Roman" w:hAnsi="Times New Roman" w:cs="Times New Roman"/>
                <w:lang w:eastAsia="hr-HR"/>
              </w:rPr>
            </w:pPr>
            <w:r w:rsidRPr="00A215D4">
              <w:rPr>
                <w:rFonts w:ascii="Times New Roman" w:eastAsia="Times New Roman" w:hAnsi="Times New Roman" w:cs="Times New Roman"/>
                <w:lang w:eastAsia="hr-HR"/>
              </w:rPr>
              <w:t>Plan 2025.</w:t>
            </w:r>
          </w:p>
        </w:tc>
        <w:tc>
          <w:tcPr>
            <w:tcW w:w="1322" w:type="dxa"/>
            <w:shd w:val="clear" w:color="auto" w:fill="auto"/>
          </w:tcPr>
          <w:p w:rsidR="009E024C" w:rsidRPr="00A215D4" w:rsidRDefault="009E024C" w:rsidP="00A215D4">
            <w:pPr>
              <w:tabs>
                <w:tab w:val="left" w:pos="1086"/>
              </w:tabs>
              <w:spacing w:before="120" w:after="0" w:line="240" w:lineRule="auto"/>
              <w:ind w:right="42"/>
              <w:jc w:val="center"/>
              <w:rPr>
                <w:rFonts w:ascii="Times New Roman" w:eastAsia="Times New Roman" w:hAnsi="Times New Roman" w:cs="Times New Roman"/>
                <w:lang w:eastAsia="hr-HR"/>
              </w:rPr>
            </w:pPr>
            <w:r w:rsidRPr="00A215D4">
              <w:rPr>
                <w:rFonts w:ascii="Times New Roman" w:eastAsia="Times New Roman" w:hAnsi="Times New Roman" w:cs="Times New Roman"/>
                <w:lang w:eastAsia="hr-HR"/>
              </w:rPr>
              <w:t>Plan 2026.</w:t>
            </w:r>
          </w:p>
        </w:tc>
        <w:tc>
          <w:tcPr>
            <w:tcW w:w="968" w:type="dxa"/>
            <w:shd w:val="clear" w:color="auto" w:fill="auto"/>
          </w:tcPr>
          <w:p w:rsidR="009E024C" w:rsidRPr="00A215D4" w:rsidRDefault="009E024C" w:rsidP="009E024C">
            <w:pPr>
              <w:spacing w:before="120" w:after="0" w:line="240" w:lineRule="auto"/>
              <w:jc w:val="both"/>
              <w:rPr>
                <w:rFonts w:ascii="Times New Roman" w:eastAsia="Times New Roman" w:hAnsi="Times New Roman" w:cs="Times New Roman"/>
                <w:lang w:eastAsia="hr-HR"/>
              </w:rPr>
            </w:pPr>
            <w:r w:rsidRPr="00A215D4">
              <w:rPr>
                <w:rFonts w:ascii="Times New Roman" w:eastAsia="Times New Roman" w:hAnsi="Times New Roman" w:cs="Times New Roman"/>
                <w:lang w:eastAsia="hr-HR"/>
              </w:rPr>
              <w:t>Indeks 24/23</w:t>
            </w:r>
          </w:p>
        </w:tc>
      </w:tr>
      <w:tr w:rsidR="00450E80" w:rsidRPr="009E024C" w:rsidTr="00450E80">
        <w:trPr>
          <w:trHeight w:val="319"/>
        </w:trPr>
        <w:tc>
          <w:tcPr>
            <w:tcW w:w="1327" w:type="dxa"/>
            <w:shd w:val="clear" w:color="auto" w:fill="auto"/>
          </w:tcPr>
          <w:p w:rsidR="00450E80" w:rsidRPr="00A215D4" w:rsidRDefault="00450E80" w:rsidP="00450E80">
            <w:pPr>
              <w:spacing w:before="120" w:after="0" w:line="240" w:lineRule="auto"/>
              <w:ind w:right="73"/>
              <w:jc w:val="both"/>
              <w:rPr>
                <w:rFonts w:ascii="Times New Roman" w:eastAsia="Times New Roman" w:hAnsi="Times New Roman" w:cs="Times New Roman"/>
                <w:lang w:eastAsia="hr-HR"/>
              </w:rPr>
            </w:pPr>
            <w:r w:rsidRPr="00A215D4">
              <w:rPr>
                <w:rFonts w:ascii="Times New Roman" w:eastAsia="Times New Roman" w:hAnsi="Times New Roman" w:cs="Times New Roman"/>
                <w:lang w:eastAsia="hr-HR"/>
              </w:rPr>
              <w:t>K895002</w:t>
            </w:r>
          </w:p>
        </w:tc>
        <w:tc>
          <w:tcPr>
            <w:tcW w:w="1544" w:type="dxa"/>
            <w:shd w:val="clear" w:color="auto" w:fill="auto"/>
          </w:tcPr>
          <w:p w:rsidR="00450E80" w:rsidRPr="00A215D4" w:rsidRDefault="00450E80" w:rsidP="00A33884">
            <w:pPr>
              <w:spacing w:before="120" w:after="0" w:line="240" w:lineRule="auto"/>
              <w:jc w:val="center"/>
              <w:rPr>
                <w:rFonts w:ascii="Times New Roman" w:eastAsia="Times New Roman" w:hAnsi="Times New Roman" w:cs="Times New Roman"/>
                <w:lang w:eastAsia="hr-HR"/>
              </w:rPr>
            </w:pPr>
            <w:r w:rsidRPr="00A215D4">
              <w:rPr>
                <w:rFonts w:ascii="Times New Roman" w:eastAsia="Times New Roman" w:hAnsi="Times New Roman" w:cs="Times New Roman"/>
                <w:lang w:eastAsia="hr-HR"/>
              </w:rPr>
              <w:t>5.824.359,22</w:t>
            </w:r>
          </w:p>
        </w:tc>
        <w:tc>
          <w:tcPr>
            <w:tcW w:w="1245" w:type="dxa"/>
            <w:shd w:val="clear" w:color="auto" w:fill="auto"/>
          </w:tcPr>
          <w:p w:rsidR="00450E80" w:rsidRPr="00A215D4" w:rsidRDefault="00450E80" w:rsidP="007B73E4">
            <w:pPr>
              <w:spacing w:before="120" w:after="0" w:line="240" w:lineRule="auto"/>
              <w:ind w:left="-108"/>
              <w:jc w:val="right"/>
              <w:rPr>
                <w:rFonts w:ascii="Times New Roman" w:eastAsia="Times New Roman" w:hAnsi="Times New Roman" w:cs="Times New Roman"/>
                <w:lang w:eastAsia="hr-HR"/>
              </w:rPr>
            </w:pPr>
            <w:r w:rsidRPr="00A215D4">
              <w:rPr>
                <w:rFonts w:ascii="Times New Roman" w:eastAsia="Times New Roman" w:hAnsi="Times New Roman" w:cs="Times New Roman"/>
                <w:lang w:eastAsia="hr-HR"/>
              </w:rPr>
              <w:t>25.354.506</w:t>
            </w:r>
          </w:p>
        </w:tc>
        <w:tc>
          <w:tcPr>
            <w:tcW w:w="1382" w:type="dxa"/>
            <w:shd w:val="clear" w:color="auto" w:fill="auto"/>
          </w:tcPr>
          <w:p w:rsidR="00450E80" w:rsidRPr="00A215D4" w:rsidRDefault="00450E80" w:rsidP="007B73E4">
            <w:pPr>
              <w:spacing w:before="120" w:after="0" w:line="240" w:lineRule="auto"/>
              <w:jc w:val="right"/>
              <w:rPr>
                <w:rFonts w:ascii="Times New Roman" w:eastAsia="Times New Roman" w:hAnsi="Times New Roman" w:cs="Times New Roman"/>
                <w:lang w:eastAsia="hr-HR"/>
              </w:rPr>
            </w:pPr>
            <w:r w:rsidRPr="00A215D4">
              <w:rPr>
                <w:rFonts w:ascii="Times New Roman" w:eastAsia="Times New Roman" w:hAnsi="Times New Roman" w:cs="Times New Roman"/>
                <w:lang w:eastAsia="hr-HR"/>
              </w:rPr>
              <w:t>10.452.881</w:t>
            </w:r>
          </w:p>
        </w:tc>
        <w:tc>
          <w:tcPr>
            <w:tcW w:w="1306" w:type="dxa"/>
            <w:shd w:val="clear" w:color="auto" w:fill="auto"/>
          </w:tcPr>
          <w:p w:rsidR="00450E80" w:rsidRPr="00A215D4" w:rsidRDefault="00450E80" w:rsidP="007B73E4">
            <w:pPr>
              <w:spacing w:before="120" w:after="0" w:line="240" w:lineRule="auto"/>
              <w:jc w:val="right"/>
              <w:rPr>
                <w:rFonts w:ascii="Times New Roman" w:eastAsia="Times New Roman" w:hAnsi="Times New Roman" w:cs="Times New Roman"/>
                <w:lang w:eastAsia="hr-HR"/>
              </w:rPr>
            </w:pPr>
            <w:r w:rsidRPr="00A215D4">
              <w:rPr>
                <w:rFonts w:ascii="Times New Roman" w:eastAsia="Times New Roman" w:hAnsi="Times New Roman" w:cs="Times New Roman"/>
                <w:lang w:eastAsia="hr-HR"/>
              </w:rPr>
              <w:t>6.686.628</w:t>
            </w:r>
          </w:p>
        </w:tc>
        <w:tc>
          <w:tcPr>
            <w:tcW w:w="1322" w:type="dxa"/>
            <w:shd w:val="clear" w:color="auto" w:fill="auto"/>
          </w:tcPr>
          <w:p w:rsidR="00450E80" w:rsidRPr="00A215D4" w:rsidRDefault="00450E80" w:rsidP="007B73E4">
            <w:pPr>
              <w:spacing w:before="120" w:after="0" w:line="240" w:lineRule="auto"/>
              <w:jc w:val="right"/>
              <w:rPr>
                <w:rFonts w:ascii="Times New Roman" w:eastAsia="Times New Roman" w:hAnsi="Times New Roman" w:cs="Times New Roman"/>
                <w:lang w:eastAsia="hr-HR"/>
              </w:rPr>
            </w:pPr>
            <w:r w:rsidRPr="00A215D4">
              <w:rPr>
                <w:rFonts w:ascii="Times New Roman" w:eastAsia="Times New Roman" w:hAnsi="Times New Roman" w:cs="Times New Roman"/>
                <w:lang w:eastAsia="hr-HR"/>
              </w:rPr>
              <w:t>7.990.164</w:t>
            </w:r>
          </w:p>
        </w:tc>
        <w:tc>
          <w:tcPr>
            <w:tcW w:w="968" w:type="dxa"/>
            <w:shd w:val="clear" w:color="auto" w:fill="auto"/>
          </w:tcPr>
          <w:p w:rsidR="00450E80" w:rsidRPr="00A215D4" w:rsidRDefault="00F66402" w:rsidP="00A33884">
            <w:pPr>
              <w:tabs>
                <w:tab w:val="left" w:pos="459"/>
              </w:tabs>
              <w:spacing w:before="120" w:after="0" w:line="240" w:lineRule="auto"/>
              <w:jc w:val="center"/>
              <w:rPr>
                <w:rFonts w:ascii="Times New Roman" w:eastAsia="Times New Roman" w:hAnsi="Times New Roman" w:cs="Times New Roman"/>
                <w:lang w:eastAsia="hr-HR"/>
              </w:rPr>
            </w:pPr>
            <w:r w:rsidRPr="00A215D4">
              <w:rPr>
                <w:rFonts w:ascii="Times New Roman" w:eastAsia="Times New Roman" w:hAnsi="Times New Roman" w:cs="Times New Roman"/>
                <w:lang w:eastAsia="hr-HR"/>
              </w:rPr>
              <w:t>41,23</w:t>
            </w:r>
          </w:p>
        </w:tc>
      </w:tr>
    </w:tbl>
    <w:p w:rsidR="009E024C" w:rsidRPr="009E024C" w:rsidRDefault="009E024C" w:rsidP="00A77817">
      <w:pPr>
        <w:tabs>
          <w:tab w:val="left" w:pos="851"/>
        </w:tabs>
        <w:spacing w:before="120" w:after="0" w:line="240" w:lineRule="auto"/>
        <w:ind w:right="374"/>
        <w:jc w:val="both"/>
        <w:rPr>
          <w:rFonts w:ascii="Times New Roman" w:eastAsia="Times New Roman" w:hAnsi="Times New Roman" w:cs="Times New Roman"/>
          <w:b/>
          <w:sz w:val="24"/>
          <w:szCs w:val="24"/>
          <w:lang w:eastAsia="hr-HR"/>
        </w:rPr>
      </w:pPr>
    </w:p>
    <w:p w:rsidR="009E024C" w:rsidRPr="009E024C" w:rsidRDefault="009E024C" w:rsidP="00A75F6F">
      <w:pPr>
        <w:tabs>
          <w:tab w:val="left" w:pos="851"/>
        </w:tabs>
        <w:spacing w:after="0" w:line="240" w:lineRule="auto"/>
        <w:ind w:right="374"/>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 xml:space="preserve">Prikaz i obrazloženje izračuna financijskih sredstava </w:t>
      </w:r>
    </w:p>
    <w:p w:rsidR="009E024C" w:rsidRPr="009E024C" w:rsidRDefault="009E024C" w:rsidP="00F9530E">
      <w:pPr>
        <w:spacing w:before="120" w:after="0" w:line="240" w:lineRule="auto"/>
        <w:ind w:firstLine="709"/>
        <w:jc w:val="both"/>
        <w:rPr>
          <w:rFonts w:ascii="Times New Roman" w:eastAsia="Times New Roman" w:hAnsi="Times New Roman" w:cs="Times New Roman"/>
          <w:color w:val="000000"/>
          <w:sz w:val="24"/>
          <w:szCs w:val="24"/>
          <w:lang w:eastAsia="hr-HR"/>
        </w:rPr>
      </w:pPr>
      <w:r w:rsidRPr="009E024C">
        <w:rPr>
          <w:rFonts w:ascii="Times New Roman" w:eastAsia="Times New Roman" w:hAnsi="Times New Roman" w:cs="Times New Roman"/>
          <w:sz w:val="24"/>
          <w:szCs w:val="24"/>
          <w:lang w:eastAsia="hr-HR"/>
        </w:rPr>
        <w:t>Ministarstvo zdravstva je utvrdilo za izravna kapitalna ulaganja u 2024. godini iznos od 5.</w:t>
      </w:r>
      <w:r w:rsidR="00522191">
        <w:rPr>
          <w:rFonts w:ascii="Times New Roman" w:eastAsia="Times New Roman" w:hAnsi="Times New Roman" w:cs="Times New Roman"/>
          <w:sz w:val="24"/>
          <w:szCs w:val="24"/>
          <w:lang w:eastAsia="hr-HR"/>
        </w:rPr>
        <w:t>285.760</w:t>
      </w:r>
      <w:r w:rsidRPr="009E024C">
        <w:rPr>
          <w:rFonts w:ascii="Times New Roman" w:eastAsia="Times New Roman" w:hAnsi="Times New Roman" w:cs="Times New Roman"/>
          <w:sz w:val="24"/>
          <w:szCs w:val="24"/>
          <w:lang w:eastAsia="hr-HR"/>
        </w:rPr>
        <w:t xml:space="preserve"> eura </w:t>
      </w:r>
      <w:r w:rsidRPr="009E024C">
        <w:rPr>
          <w:rFonts w:ascii="Times New Roman" w:eastAsia="Times New Roman" w:hAnsi="Times New Roman" w:cs="Times New Roman"/>
          <w:b/>
          <w:sz w:val="24"/>
          <w:szCs w:val="24"/>
          <w:lang w:eastAsia="hr-HR"/>
        </w:rPr>
        <w:t>(izvor financiranja 11 Opći prihodi i primici)</w:t>
      </w:r>
      <w:r w:rsidRPr="009E024C">
        <w:rPr>
          <w:rFonts w:ascii="Times New Roman" w:eastAsia="Times New Roman" w:hAnsi="Times New Roman" w:cs="Times New Roman"/>
          <w:sz w:val="24"/>
          <w:szCs w:val="24"/>
          <w:lang w:eastAsia="hr-HR"/>
        </w:rPr>
        <w:t xml:space="preserve">. Navedena  sredstva planira se utrošiti za dovršetak opremanja novoizgrađenih objekata dnevnih bolnica i objedinjenog hitnog bolničkog prijema, operacijski mikroskop, za nabavu </w:t>
      </w:r>
      <w:r w:rsidRPr="009E024C">
        <w:rPr>
          <w:rFonts w:ascii="Times New Roman" w:eastAsia="Times New Roman" w:hAnsi="Times New Roman" w:cs="Times New Roman"/>
          <w:color w:val="000000"/>
          <w:sz w:val="24"/>
          <w:szCs w:val="24"/>
          <w:lang w:eastAsia="hr-HR"/>
        </w:rPr>
        <w:t>uredskog namještaja za zgrade obnovljene od potresa, mrežnu aktivnu opremu, WiFi, računala i prijenosna računala, uređenje Klinike za neurokirurgiju, te IP telefoniju i digitalizaciju procesa nabave.</w:t>
      </w:r>
    </w:p>
    <w:p w:rsidR="009E024C" w:rsidRPr="009E024C" w:rsidRDefault="009E024C" w:rsidP="00F9530E">
      <w:pPr>
        <w:spacing w:before="120" w:after="0" w:line="240" w:lineRule="auto"/>
        <w:ind w:firstLine="709"/>
        <w:jc w:val="both"/>
        <w:rPr>
          <w:rFonts w:ascii="Times New Roman" w:eastAsia="Times New Roman" w:hAnsi="Times New Roman" w:cs="Times New Roman"/>
          <w:color w:val="000000"/>
          <w:sz w:val="24"/>
          <w:szCs w:val="24"/>
          <w:lang w:eastAsia="hr-HR"/>
        </w:rPr>
      </w:pPr>
      <w:r w:rsidRPr="009E024C">
        <w:rPr>
          <w:rFonts w:ascii="Times New Roman" w:eastAsia="Times New Roman" w:hAnsi="Times New Roman" w:cs="Times New Roman"/>
          <w:sz w:val="24"/>
          <w:szCs w:val="24"/>
          <w:lang w:eastAsia="hr-HR"/>
        </w:rPr>
        <w:lastRenderedPageBreak/>
        <w:t xml:space="preserve">Cijene opreme i radova iskazane su prema trenutnoj tržišnoj vrijednosti. Navedeno je usmjereno na postizanje bolje kvalitete pružanja zdravstvenih usluga. </w:t>
      </w:r>
    </w:p>
    <w:p w:rsidR="009E024C" w:rsidRPr="009E024C" w:rsidRDefault="00A75F6F" w:rsidP="00A75F6F">
      <w:pPr>
        <w:tabs>
          <w:tab w:val="left" w:pos="851"/>
        </w:tabs>
        <w:spacing w:before="120" w:after="0" w:line="240" w:lineRule="auto"/>
        <w:ind w:right="-52"/>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9E024C" w:rsidRPr="009E024C">
        <w:rPr>
          <w:rFonts w:ascii="Times New Roman" w:eastAsia="Times New Roman" w:hAnsi="Times New Roman" w:cs="Times New Roman"/>
          <w:sz w:val="24"/>
          <w:szCs w:val="24"/>
          <w:lang w:eastAsia="hr-HR"/>
        </w:rPr>
        <w:t>Utvrđen iznos za kapitalna ulaganja u 2025. godini ostaje na razini 2024. godine dok je za 2026. godinu planirano 6.</w:t>
      </w:r>
      <w:r w:rsidR="002B7E49">
        <w:rPr>
          <w:rFonts w:ascii="Times New Roman" w:eastAsia="Times New Roman" w:hAnsi="Times New Roman" w:cs="Times New Roman"/>
          <w:sz w:val="24"/>
          <w:szCs w:val="24"/>
          <w:lang w:eastAsia="hr-HR"/>
        </w:rPr>
        <w:t>598.306</w:t>
      </w:r>
      <w:r w:rsidR="009E024C" w:rsidRPr="009E024C">
        <w:rPr>
          <w:rFonts w:ascii="Times New Roman" w:eastAsia="Times New Roman" w:hAnsi="Times New Roman" w:cs="Times New Roman"/>
          <w:sz w:val="24"/>
          <w:szCs w:val="24"/>
          <w:lang w:eastAsia="hr-HR"/>
        </w:rPr>
        <w:t xml:space="preserve"> eura na izvoru financiranja 11, a koristili  bi se za nabavku neophodne opreme i ulaganja u informatizaciju.</w:t>
      </w:r>
    </w:p>
    <w:p w:rsidR="009E024C" w:rsidRPr="009E024C" w:rsidRDefault="00A75F6F" w:rsidP="00A75F6F">
      <w:pPr>
        <w:tabs>
          <w:tab w:val="left" w:pos="851"/>
        </w:tabs>
        <w:spacing w:before="120" w:after="0" w:line="240" w:lineRule="auto"/>
        <w:ind w:right="-52"/>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9E024C" w:rsidRPr="00F9530E">
        <w:rPr>
          <w:rFonts w:ascii="Times New Roman" w:eastAsia="Times New Roman" w:hAnsi="Times New Roman" w:cs="Times New Roman"/>
          <w:sz w:val="24"/>
          <w:szCs w:val="24"/>
          <w:lang w:eastAsia="hr-HR"/>
        </w:rPr>
        <w:t>Iz</w:t>
      </w:r>
      <w:r w:rsidR="009E024C" w:rsidRPr="009E024C">
        <w:rPr>
          <w:rFonts w:ascii="Times New Roman" w:eastAsia="Times New Roman" w:hAnsi="Times New Roman" w:cs="Times New Roman"/>
          <w:b/>
          <w:sz w:val="24"/>
          <w:szCs w:val="24"/>
          <w:lang w:eastAsia="hr-HR"/>
        </w:rPr>
        <w:t xml:space="preserve"> izvora financiranja 31 Vlastiti prihodi</w:t>
      </w:r>
      <w:r w:rsidR="009E024C" w:rsidRPr="009E024C">
        <w:rPr>
          <w:rFonts w:ascii="Times New Roman" w:eastAsia="Times New Roman" w:hAnsi="Times New Roman" w:cs="Times New Roman"/>
          <w:sz w:val="24"/>
          <w:szCs w:val="24"/>
          <w:lang w:eastAsia="hr-HR"/>
        </w:rPr>
        <w:t xml:space="preserve"> za kapitalna ulaganja predviđa se iznos od 1.383.901 euro, od čega se najveći dio u iznosu od 1.165.174 eura odnosi na nabavku medicinske i laboratorijske opreme. U 2025. i 2026. godini također će se dio opreme nabavljati iz izvora financiranja 31 te se za obje godine predviđa iznos od  1.383.900 eura.</w:t>
      </w:r>
    </w:p>
    <w:p w:rsidR="009E024C" w:rsidRPr="009E024C" w:rsidRDefault="00A75F6F" w:rsidP="00A75F6F">
      <w:pPr>
        <w:tabs>
          <w:tab w:val="left" w:pos="851"/>
        </w:tabs>
        <w:spacing w:before="120" w:after="0" w:line="240" w:lineRule="auto"/>
        <w:ind w:right="-52"/>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9E024C" w:rsidRPr="00F9530E">
        <w:rPr>
          <w:rFonts w:ascii="Times New Roman" w:eastAsia="Times New Roman" w:hAnsi="Times New Roman" w:cs="Times New Roman"/>
          <w:sz w:val="24"/>
          <w:szCs w:val="24"/>
          <w:lang w:eastAsia="hr-HR"/>
        </w:rPr>
        <w:t>Na</w:t>
      </w:r>
      <w:r w:rsidR="009E024C" w:rsidRPr="009E024C">
        <w:rPr>
          <w:rFonts w:ascii="Times New Roman" w:eastAsia="Times New Roman" w:hAnsi="Times New Roman" w:cs="Times New Roman"/>
          <w:b/>
          <w:sz w:val="24"/>
          <w:szCs w:val="24"/>
          <w:lang w:eastAsia="hr-HR"/>
        </w:rPr>
        <w:t xml:space="preserve"> izvoru financiranja 52</w:t>
      </w:r>
      <w:r w:rsidR="009E024C" w:rsidRPr="009E024C">
        <w:rPr>
          <w:rFonts w:ascii="Times New Roman" w:eastAsia="Times New Roman" w:hAnsi="Times New Roman" w:cs="Times New Roman"/>
          <w:sz w:val="24"/>
          <w:szCs w:val="24"/>
          <w:lang w:eastAsia="hr-HR"/>
        </w:rPr>
        <w:t xml:space="preserve"> </w:t>
      </w:r>
      <w:r w:rsidR="009E024C" w:rsidRPr="00F9530E">
        <w:rPr>
          <w:rFonts w:ascii="Times New Roman" w:eastAsia="Times New Roman" w:hAnsi="Times New Roman" w:cs="Times New Roman"/>
          <w:b/>
          <w:sz w:val="24"/>
          <w:szCs w:val="24"/>
          <w:lang w:eastAsia="hr-HR"/>
        </w:rPr>
        <w:t>Ostale</w:t>
      </w:r>
      <w:r w:rsidR="00F9530E" w:rsidRPr="00F9530E">
        <w:rPr>
          <w:rFonts w:ascii="Times New Roman" w:eastAsia="Times New Roman" w:hAnsi="Times New Roman" w:cs="Times New Roman"/>
          <w:b/>
          <w:sz w:val="24"/>
          <w:szCs w:val="24"/>
          <w:lang w:eastAsia="hr-HR"/>
        </w:rPr>
        <w:t xml:space="preserve"> pomoći i darovnice</w:t>
      </w:r>
      <w:r w:rsidR="00F9530E">
        <w:rPr>
          <w:rFonts w:ascii="Times New Roman" w:eastAsia="Times New Roman" w:hAnsi="Times New Roman" w:cs="Times New Roman"/>
          <w:sz w:val="24"/>
          <w:szCs w:val="24"/>
          <w:lang w:eastAsia="hr-HR"/>
        </w:rPr>
        <w:t xml:space="preserve"> za 2024. godinu planiran je </w:t>
      </w:r>
      <w:r w:rsidR="009E024C" w:rsidRPr="009E024C">
        <w:rPr>
          <w:rFonts w:ascii="Times New Roman" w:eastAsia="Times New Roman" w:hAnsi="Times New Roman" w:cs="Times New Roman"/>
          <w:sz w:val="24"/>
          <w:szCs w:val="24"/>
          <w:lang w:eastAsia="hr-HR"/>
        </w:rPr>
        <w:t xml:space="preserve">iznos od </w:t>
      </w:r>
      <w:r w:rsidR="00522191">
        <w:rPr>
          <w:rFonts w:ascii="Times New Roman" w:eastAsia="Times New Roman" w:hAnsi="Times New Roman" w:cs="Times New Roman"/>
          <w:sz w:val="24"/>
          <w:szCs w:val="24"/>
          <w:lang w:eastAsia="hr-HR"/>
        </w:rPr>
        <w:t>3.716.239</w:t>
      </w:r>
      <w:r w:rsidR="009E024C" w:rsidRPr="009E024C">
        <w:rPr>
          <w:rFonts w:ascii="Times New Roman" w:eastAsia="Times New Roman" w:hAnsi="Times New Roman" w:cs="Times New Roman"/>
          <w:sz w:val="24"/>
          <w:szCs w:val="24"/>
          <w:lang w:eastAsia="hr-HR"/>
        </w:rPr>
        <w:t xml:space="preserve"> eura temeljem Sporazuma o zajedničkoj provedbi određenih postupaka nabave u sklopu projekta koji provodi Ministarstvo zdravstva, a putem kojeg će se financirati izgradnja bunkera za linearn</w:t>
      </w:r>
      <w:r w:rsidR="00F9530E">
        <w:rPr>
          <w:rFonts w:ascii="Times New Roman" w:eastAsia="Times New Roman" w:hAnsi="Times New Roman" w:cs="Times New Roman"/>
          <w:sz w:val="24"/>
          <w:szCs w:val="24"/>
          <w:lang w:eastAsia="hr-HR"/>
        </w:rPr>
        <w:t>e</w:t>
      </w:r>
      <w:r w:rsidR="009E024C" w:rsidRPr="009E024C">
        <w:rPr>
          <w:rFonts w:ascii="Times New Roman" w:eastAsia="Times New Roman" w:hAnsi="Times New Roman" w:cs="Times New Roman"/>
          <w:sz w:val="24"/>
          <w:szCs w:val="24"/>
          <w:lang w:eastAsia="hr-HR"/>
        </w:rPr>
        <w:t xml:space="preserve"> akcelerator</w:t>
      </w:r>
      <w:r w:rsidR="00F9530E">
        <w:rPr>
          <w:rFonts w:ascii="Times New Roman" w:eastAsia="Times New Roman" w:hAnsi="Times New Roman" w:cs="Times New Roman"/>
          <w:sz w:val="24"/>
          <w:szCs w:val="24"/>
          <w:lang w:eastAsia="hr-HR"/>
        </w:rPr>
        <w:t>e</w:t>
      </w:r>
      <w:r w:rsidR="009E024C" w:rsidRPr="009E024C">
        <w:rPr>
          <w:rFonts w:ascii="Times New Roman" w:eastAsia="Times New Roman" w:hAnsi="Times New Roman" w:cs="Times New Roman"/>
          <w:sz w:val="24"/>
          <w:szCs w:val="24"/>
          <w:lang w:eastAsia="hr-HR"/>
        </w:rPr>
        <w:t>.</w:t>
      </w:r>
    </w:p>
    <w:p w:rsidR="009E024C" w:rsidRPr="009E024C" w:rsidRDefault="00A75F6F" w:rsidP="00A75F6F">
      <w:pPr>
        <w:tabs>
          <w:tab w:val="left" w:pos="851"/>
        </w:tabs>
        <w:spacing w:before="120" w:after="0" w:line="240" w:lineRule="auto"/>
        <w:ind w:right="-52"/>
        <w:jc w:val="both"/>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ab/>
      </w:r>
      <w:r w:rsidR="00F9530E">
        <w:rPr>
          <w:rFonts w:ascii="Times New Roman" w:eastAsia="Times New Roman" w:hAnsi="Times New Roman" w:cs="Times New Roman"/>
          <w:sz w:val="24"/>
          <w:szCs w:val="24"/>
          <w:lang w:eastAsia="hr-HR"/>
        </w:rPr>
        <w:t xml:space="preserve">Kroz </w:t>
      </w:r>
      <w:r w:rsidR="00F9530E" w:rsidRPr="00F9530E">
        <w:rPr>
          <w:rFonts w:ascii="Times New Roman" w:eastAsia="Times New Roman" w:hAnsi="Times New Roman" w:cs="Times New Roman"/>
          <w:b/>
          <w:sz w:val="24"/>
          <w:szCs w:val="24"/>
          <w:lang w:eastAsia="hr-HR"/>
        </w:rPr>
        <w:t>i</w:t>
      </w:r>
      <w:r w:rsidR="009E024C" w:rsidRPr="00F9530E">
        <w:rPr>
          <w:rFonts w:ascii="Times New Roman" w:eastAsia="Times New Roman" w:hAnsi="Times New Roman" w:cs="Times New Roman"/>
          <w:b/>
          <w:sz w:val="24"/>
          <w:szCs w:val="24"/>
          <w:lang w:eastAsia="hr-HR"/>
        </w:rPr>
        <w:t>z</w:t>
      </w:r>
      <w:r w:rsidR="009E024C" w:rsidRPr="009E024C">
        <w:rPr>
          <w:rFonts w:ascii="Times New Roman" w:eastAsia="Times New Roman" w:hAnsi="Times New Roman" w:cs="Times New Roman"/>
          <w:b/>
          <w:sz w:val="24"/>
          <w:szCs w:val="24"/>
          <w:lang w:eastAsia="hr-HR"/>
        </w:rPr>
        <w:t>vor financiranja 61 Donacije</w:t>
      </w:r>
      <w:r w:rsidR="009E024C" w:rsidRPr="009E024C">
        <w:rPr>
          <w:rFonts w:ascii="Times New Roman" w:eastAsia="Times New Roman" w:hAnsi="Times New Roman" w:cs="Times New Roman"/>
          <w:sz w:val="24"/>
          <w:szCs w:val="24"/>
          <w:lang w:eastAsia="hr-HR"/>
        </w:rPr>
        <w:t xml:space="preserve"> za 2024. godinu planiran je iznos od 65.800 eura koji se najvećim dijelom odnosi na donacije vezane za medicinsku i laboratorijsku opremu, te donacije kombi vozila. Za 2025. godinu projekcija iznosi 15.800 eura, a za 2025. godinu 6.800 eura. </w:t>
      </w:r>
    </w:p>
    <w:p w:rsidR="009E024C" w:rsidRPr="009E024C" w:rsidRDefault="009E024C" w:rsidP="009E024C">
      <w:pPr>
        <w:spacing w:after="0" w:line="240" w:lineRule="auto"/>
        <w:ind w:right="-52"/>
        <w:jc w:val="both"/>
        <w:rPr>
          <w:rFonts w:ascii="Times New Roman" w:eastAsia="Times New Roman" w:hAnsi="Times New Roman" w:cs="Times New Roman"/>
          <w:sz w:val="24"/>
          <w:szCs w:val="24"/>
          <w:lang w:eastAsia="hr-HR"/>
        </w:rPr>
      </w:pPr>
    </w:p>
    <w:p w:rsidR="009E024C" w:rsidRPr="009E024C" w:rsidRDefault="009E024C" w:rsidP="008E3300">
      <w:pPr>
        <w:spacing w:after="0" w:line="240" w:lineRule="auto"/>
        <w:ind w:right="657"/>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Pokazatelji rezultata</w:t>
      </w:r>
    </w:p>
    <w:p w:rsidR="009E024C" w:rsidRPr="009E024C" w:rsidRDefault="009E024C" w:rsidP="00781DFF">
      <w:pPr>
        <w:spacing w:after="0" w:line="240" w:lineRule="auto"/>
        <w:ind w:right="657"/>
        <w:jc w:val="both"/>
        <w:rPr>
          <w:rFonts w:ascii="Times New Roman" w:eastAsia="Times New Roman" w:hAnsi="Times New Roman" w:cs="Times New Roman"/>
          <w:b/>
          <w:sz w:val="24"/>
          <w:szCs w:val="24"/>
          <w:lang w:eastAsia="hr-HR"/>
        </w:rPr>
      </w:pPr>
    </w:p>
    <w:tbl>
      <w:tblPr>
        <w:tblW w:w="94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917"/>
        <w:gridCol w:w="1087"/>
        <w:gridCol w:w="996"/>
        <w:gridCol w:w="1087"/>
        <w:gridCol w:w="1176"/>
        <w:gridCol w:w="1144"/>
      </w:tblGrid>
      <w:tr w:rsidR="009E024C" w:rsidRPr="009E024C" w:rsidTr="00A75F6F">
        <w:tc>
          <w:tcPr>
            <w:tcW w:w="1242" w:type="dxa"/>
            <w:shd w:val="clear" w:color="auto" w:fill="auto"/>
          </w:tcPr>
          <w:p w:rsidR="009E024C" w:rsidRPr="00F9530E" w:rsidRDefault="009E024C" w:rsidP="00781DFF">
            <w:pPr>
              <w:spacing w:after="0" w:line="240" w:lineRule="auto"/>
              <w:ind w:right="-91"/>
              <w:jc w:val="both"/>
              <w:rPr>
                <w:rFonts w:ascii="Times New Roman" w:eastAsia="Times New Roman" w:hAnsi="Times New Roman" w:cs="Times New Roman"/>
                <w:lang w:eastAsia="hr-HR"/>
              </w:rPr>
            </w:pPr>
            <w:r w:rsidRPr="00F9530E">
              <w:rPr>
                <w:rFonts w:ascii="Times New Roman" w:eastAsia="Times New Roman" w:hAnsi="Times New Roman" w:cs="Times New Roman"/>
                <w:lang w:eastAsia="hr-HR"/>
              </w:rPr>
              <w:t>Pokazatelj rezultata</w:t>
            </w:r>
          </w:p>
        </w:tc>
        <w:tc>
          <w:tcPr>
            <w:tcW w:w="1843" w:type="dxa"/>
            <w:shd w:val="clear" w:color="auto" w:fill="auto"/>
          </w:tcPr>
          <w:p w:rsidR="009E024C" w:rsidRPr="00F9530E" w:rsidRDefault="009E024C" w:rsidP="00F9530E">
            <w:pPr>
              <w:spacing w:after="0" w:line="240" w:lineRule="auto"/>
              <w:ind w:right="-91"/>
              <w:jc w:val="center"/>
              <w:rPr>
                <w:rFonts w:ascii="Times New Roman" w:eastAsia="Times New Roman" w:hAnsi="Times New Roman" w:cs="Times New Roman"/>
                <w:lang w:eastAsia="hr-HR"/>
              </w:rPr>
            </w:pPr>
            <w:r w:rsidRPr="00F9530E">
              <w:rPr>
                <w:rFonts w:ascii="Times New Roman" w:eastAsia="Times New Roman" w:hAnsi="Times New Roman" w:cs="Times New Roman"/>
                <w:lang w:eastAsia="hr-HR"/>
              </w:rPr>
              <w:t>Definicija</w:t>
            </w:r>
          </w:p>
        </w:tc>
        <w:tc>
          <w:tcPr>
            <w:tcW w:w="917" w:type="dxa"/>
            <w:shd w:val="clear" w:color="auto" w:fill="auto"/>
          </w:tcPr>
          <w:p w:rsidR="009E024C" w:rsidRPr="00F9530E" w:rsidRDefault="009E024C" w:rsidP="00F9530E">
            <w:pPr>
              <w:spacing w:after="0" w:line="240" w:lineRule="auto"/>
              <w:ind w:left="-108" w:right="-91"/>
              <w:jc w:val="center"/>
              <w:rPr>
                <w:rFonts w:ascii="Times New Roman" w:eastAsia="Times New Roman" w:hAnsi="Times New Roman" w:cs="Times New Roman"/>
                <w:lang w:eastAsia="hr-HR"/>
              </w:rPr>
            </w:pPr>
            <w:r w:rsidRPr="00F9530E">
              <w:rPr>
                <w:rFonts w:ascii="Times New Roman" w:eastAsia="Times New Roman" w:hAnsi="Times New Roman" w:cs="Times New Roman"/>
                <w:lang w:eastAsia="hr-HR"/>
              </w:rPr>
              <w:t>Jedinica</w:t>
            </w:r>
          </w:p>
        </w:tc>
        <w:tc>
          <w:tcPr>
            <w:tcW w:w="1087" w:type="dxa"/>
            <w:shd w:val="clear" w:color="auto" w:fill="auto"/>
          </w:tcPr>
          <w:p w:rsidR="009E024C" w:rsidRPr="00F9530E" w:rsidRDefault="009E024C" w:rsidP="00F9530E">
            <w:pPr>
              <w:spacing w:after="0" w:line="240" w:lineRule="auto"/>
              <w:ind w:left="-175" w:right="-91"/>
              <w:jc w:val="center"/>
              <w:rPr>
                <w:rFonts w:ascii="Times New Roman" w:eastAsia="Times New Roman" w:hAnsi="Times New Roman" w:cs="Times New Roman"/>
                <w:lang w:eastAsia="hr-HR"/>
              </w:rPr>
            </w:pPr>
            <w:r w:rsidRPr="00F9530E">
              <w:rPr>
                <w:rFonts w:ascii="Times New Roman" w:eastAsia="Times New Roman" w:hAnsi="Times New Roman" w:cs="Times New Roman"/>
                <w:lang w:eastAsia="hr-HR"/>
              </w:rPr>
              <w:t>Polazna vrijednost</w:t>
            </w:r>
          </w:p>
          <w:p w:rsidR="009E024C" w:rsidRPr="00F9530E" w:rsidRDefault="009E024C" w:rsidP="00F9530E">
            <w:pPr>
              <w:spacing w:after="0" w:line="240" w:lineRule="auto"/>
              <w:ind w:left="-175" w:right="-91"/>
              <w:jc w:val="center"/>
              <w:rPr>
                <w:rFonts w:ascii="Times New Roman" w:eastAsia="Times New Roman" w:hAnsi="Times New Roman" w:cs="Times New Roman"/>
                <w:lang w:eastAsia="hr-HR"/>
              </w:rPr>
            </w:pPr>
          </w:p>
        </w:tc>
        <w:tc>
          <w:tcPr>
            <w:tcW w:w="996" w:type="dxa"/>
            <w:shd w:val="clear" w:color="auto" w:fill="auto"/>
          </w:tcPr>
          <w:p w:rsidR="009E024C" w:rsidRPr="00F9530E" w:rsidRDefault="009E024C" w:rsidP="00F9530E">
            <w:pPr>
              <w:spacing w:after="0" w:line="240" w:lineRule="auto"/>
              <w:ind w:right="-91"/>
              <w:jc w:val="center"/>
              <w:rPr>
                <w:rFonts w:ascii="Times New Roman" w:eastAsia="Times New Roman" w:hAnsi="Times New Roman" w:cs="Times New Roman"/>
                <w:lang w:eastAsia="hr-HR"/>
              </w:rPr>
            </w:pPr>
            <w:r w:rsidRPr="00F9530E">
              <w:rPr>
                <w:rFonts w:ascii="Times New Roman" w:eastAsia="Times New Roman" w:hAnsi="Times New Roman" w:cs="Times New Roman"/>
                <w:lang w:eastAsia="hr-HR"/>
              </w:rPr>
              <w:t>Izvor podataka</w:t>
            </w:r>
          </w:p>
        </w:tc>
        <w:tc>
          <w:tcPr>
            <w:tcW w:w="1087" w:type="dxa"/>
            <w:shd w:val="clear" w:color="auto" w:fill="auto"/>
          </w:tcPr>
          <w:p w:rsidR="009E024C" w:rsidRPr="00F9530E" w:rsidRDefault="009E024C" w:rsidP="00F9530E">
            <w:pPr>
              <w:spacing w:after="0" w:line="240" w:lineRule="auto"/>
              <w:ind w:right="-91"/>
              <w:jc w:val="center"/>
              <w:rPr>
                <w:rFonts w:ascii="Times New Roman" w:eastAsia="Times New Roman" w:hAnsi="Times New Roman" w:cs="Times New Roman"/>
                <w:lang w:eastAsia="hr-HR"/>
              </w:rPr>
            </w:pPr>
            <w:r w:rsidRPr="00F9530E">
              <w:rPr>
                <w:rFonts w:ascii="Times New Roman" w:eastAsia="Times New Roman" w:hAnsi="Times New Roman" w:cs="Times New Roman"/>
                <w:lang w:eastAsia="hr-HR"/>
              </w:rPr>
              <w:t>Ciljana vrijednost (2024.)</w:t>
            </w:r>
          </w:p>
        </w:tc>
        <w:tc>
          <w:tcPr>
            <w:tcW w:w="1176" w:type="dxa"/>
            <w:shd w:val="clear" w:color="auto" w:fill="auto"/>
          </w:tcPr>
          <w:p w:rsidR="009E024C" w:rsidRPr="00F9530E" w:rsidRDefault="009E024C" w:rsidP="00F9530E">
            <w:pPr>
              <w:spacing w:after="0" w:line="240" w:lineRule="auto"/>
              <w:jc w:val="center"/>
              <w:rPr>
                <w:rFonts w:ascii="Times New Roman" w:eastAsia="Times New Roman" w:hAnsi="Times New Roman" w:cs="Times New Roman"/>
                <w:lang w:eastAsia="hr-HR"/>
              </w:rPr>
            </w:pPr>
            <w:r w:rsidRPr="00F9530E">
              <w:rPr>
                <w:rFonts w:ascii="Times New Roman" w:eastAsia="Times New Roman" w:hAnsi="Times New Roman" w:cs="Times New Roman"/>
                <w:lang w:eastAsia="hr-HR"/>
              </w:rPr>
              <w:t>Ciljana vrijednost (2025.)</w:t>
            </w:r>
          </w:p>
        </w:tc>
        <w:tc>
          <w:tcPr>
            <w:tcW w:w="1144" w:type="dxa"/>
            <w:shd w:val="clear" w:color="auto" w:fill="auto"/>
          </w:tcPr>
          <w:p w:rsidR="009E024C" w:rsidRPr="00F9530E" w:rsidRDefault="009E024C" w:rsidP="00F9530E">
            <w:pPr>
              <w:spacing w:after="0" w:line="240" w:lineRule="auto"/>
              <w:jc w:val="center"/>
              <w:rPr>
                <w:rFonts w:ascii="Times New Roman" w:eastAsia="Times New Roman" w:hAnsi="Times New Roman" w:cs="Times New Roman"/>
                <w:lang w:eastAsia="hr-HR"/>
              </w:rPr>
            </w:pPr>
            <w:r w:rsidRPr="00F9530E">
              <w:rPr>
                <w:rFonts w:ascii="Times New Roman" w:eastAsia="Times New Roman" w:hAnsi="Times New Roman" w:cs="Times New Roman"/>
                <w:lang w:eastAsia="hr-HR"/>
              </w:rPr>
              <w:t>Ciljana vrijednost (2026.)</w:t>
            </w:r>
          </w:p>
        </w:tc>
      </w:tr>
      <w:tr w:rsidR="009E024C" w:rsidRPr="009E024C" w:rsidTr="00A75F6F">
        <w:tc>
          <w:tcPr>
            <w:tcW w:w="1242" w:type="dxa"/>
            <w:shd w:val="clear" w:color="auto" w:fill="auto"/>
          </w:tcPr>
          <w:p w:rsidR="009E024C" w:rsidRPr="00F9530E" w:rsidRDefault="009E024C" w:rsidP="009E024C">
            <w:pPr>
              <w:spacing w:after="0" w:line="240" w:lineRule="auto"/>
              <w:jc w:val="both"/>
              <w:rPr>
                <w:rFonts w:ascii="Times New Roman" w:eastAsia="Times New Roman" w:hAnsi="Times New Roman" w:cs="Times New Roman"/>
                <w:lang w:eastAsia="hr-HR"/>
              </w:rPr>
            </w:pPr>
            <w:r w:rsidRPr="00F9530E">
              <w:rPr>
                <w:rFonts w:ascii="Times New Roman" w:eastAsia="Times New Roman" w:hAnsi="Times New Roman" w:cs="Times New Roman"/>
                <w:lang w:eastAsia="hr-HR"/>
              </w:rPr>
              <w:t>Stopa učešća otpisane vrijednosti u odnosu</w:t>
            </w:r>
          </w:p>
          <w:p w:rsidR="009E024C" w:rsidRPr="00F9530E" w:rsidRDefault="009E024C" w:rsidP="009E024C">
            <w:pPr>
              <w:spacing w:after="0" w:line="240" w:lineRule="auto"/>
              <w:jc w:val="both"/>
              <w:rPr>
                <w:rFonts w:ascii="Times New Roman" w:eastAsia="Times New Roman" w:hAnsi="Times New Roman" w:cs="Times New Roman"/>
                <w:lang w:eastAsia="hr-HR"/>
              </w:rPr>
            </w:pPr>
            <w:r w:rsidRPr="00F9530E">
              <w:rPr>
                <w:rFonts w:ascii="Times New Roman" w:eastAsia="Times New Roman" w:hAnsi="Times New Roman" w:cs="Times New Roman"/>
                <w:lang w:eastAsia="hr-HR"/>
              </w:rPr>
              <w:t>na nabavnu vrijednost postrojenja i opreme</w:t>
            </w:r>
          </w:p>
        </w:tc>
        <w:tc>
          <w:tcPr>
            <w:tcW w:w="1843" w:type="dxa"/>
            <w:shd w:val="clear" w:color="auto" w:fill="auto"/>
          </w:tcPr>
          <w:p w:rsidR="009E024C" w:rsidRPr="00F9530E" w:rsidRDefault="009E024C" w:rsidP="009E024C">
            <w:pPr>
              <w:spacing w:after="0" w:line="240" w:lineRule="auto"/>
              <w:jc w:val="both"/>
              <w:rPr>
                <w:rFonts w:ascii="Times New Roman" w:eastAsia="Times New Roman" w:hAnsi="Times New Roman" w:cs="Times New Roman"/>
                <w:lang w:eastAsia="hr-HR"/>
              </w:rPr>
            </w:pPr>
            <w:r w:rsidRPr="00F9530E">
              <w:rPr>
                <w:rFonts w:ascii="Times New Roman" w:eastAsia="Times New Roman" w:hAnsi="Times New Roman" w:cs="Times New Roman"/>
                <w:lang w:eastAsia="hr-HR"/>
              </w:rPr>
              <w:t>Nabavkom nove opreme postotak učešća otpisane vrijednosti u</w:t>
            </w:r>
          </w:p>
          <w:p w:rsidR="009E024C" w:rsidRPr="00F9530E" w:rsidRDefault="009E024C" w:rsidP="009E024C">
            <w:pPr>
              <w:spacing w:after="0" w:line="240" w:lineRule="auto"/>
              <w:jc w:val="both"/>
              <w:rPr>
                <w:rFonts w:ascii="Times New Roman" w:eastAsia="Times New Roman" w:hAnsi="Times New Roman" w:cs="Times New Roman"/>
                <w:lang w:eastAsia="hr-HR"/>
              </w:rPr>
            </w:pPr>
            <w:r w:rsidRPr="00F9530E">
              <w:rPr>
                <w:rFonts w:ascii="Times New Roman" w:eastAsia="Times New Roman" w:hAnsi="Times New Roman" w:cs="Times New Roman"/>
                <w:lang w:eastAsia="hr-HR"/>
              </w:rPr>
              <w:t>odnosu na</w:t>
            </w:r>
          </w:p>
          <w:p w:rsidR="009E024C" w:rsidRPr="00F9530E" w:rsidRDefault="009E024C" w:rsidP="009E024C">
            <w:pPr>
              <w:spacing w:after="0" w:line="240" w:lineRule="auto"/>
              <w:jc w:val="both"/>
              <w:rPr>
                <w:rFonts w:ascii="Times New Roman" w:eastAsia="Times New Roman" w:hAnsi="Times New Roman" w:cs="Times New Roman"/>
                <w:lang w:eastAsia="hr-HR"/>
              </w:rPr>
            </w:pPr>
            <w:r w:rsidRPr="00F9530E">
              <w:rPr>
                <w:rFonts w:ascii="Times New Roman" w:eastAsia="Times New Roman" w:hAnsi="Times New Roman" w:cs="Times New Roman"/>
                <w:lang w:eastAsia="hr-HR"/>
              </w:rPr>
              <w:t>nabavnu vrijednost će se</w:t>
            </w:r>
          </w:p>
          <w:p w:rsidR="009E024C" w:rsidRPr="00F9530E" w:rsidRDefault="009E024C" w:rsidP="009E024C">
            <w:pPr>
              <w:spacing w:after="0" w:line="240" w:lineRule="auto"/>
              <w:jc w:val="both"/>
              <w:rPr>
                <w:rFonts w:ascii="Times New Roman" w:eastAsia="Times New Roman" w:hAnsi="Times New Roman" w:cs="Times New Roman"/>
                <w:lang w:eastAsia="hr-HR"/>
              </w:rPr>
            </w:pPr>
            <w:r w:rsidRPr="00F9530E">
              <w:rPr>
                <w:rFonts w:ascii="Times New Roman" w:eastAsia="Times New Roman" w:hAnsi="Times New Roman" w:cs="Times New Roman"/>
                <w:lang w:eastAsia="hr-HR"/>
              </w:rPr>
              <w:t>povećavati u</w:t>
            </w:r>
          </w:p>
          <w:p w:rsidR="009E024C" w:rsidRPr="00F9530E" w:rsidRDefault="009E024C" w:rsidP="009E024C">
            <w:pPr>
              <w:spacing w:after="0" w:line="240" w:lineRule="auto"/>
              <w:jc w:val="both"/>
              <w:rPr>
                <w:rFonts w:ascii="Times New Roman" w:eastAsia="Times New Roman" w:hAnsi="Times New Roman" w:cs="Times New Roman"/>
                <w:lang w:eastAsia="hr-HR"/>
              </w:rPr>
            </w:pPr>
            <w:r w:rsidRPr="00F9530E">
              <w:rPr>
                <w:rFonts w:ascii="Times New Roman" w:eastAsia="Times New Roman" w:hAnsi="Times New Roman" w:cs="Times New Roman"/>
                <w:lang w:eastAsia="hr-HR"/>
              </w:rPr>
              <w:t xml:space="preserve">manjem postotku </w:t>
            </w:r>
          </w:p>
        </w:tc>
        <w:tc>
          <w:tcPr>
            <w:tcW w:w="917" w:type="dxa"/>
            <w:shd w:val="clear" w:color="auto" w:fill="auto"/>
          </w:tcPr>
          <w:p w:rsidR="009E024C" w:rsidRPr="00F9530E" w:rsidRDefault="009E024C" w:rsidP="004050BC">
            <w:pPr>
              <w:spacing w:after="0" w:line="240" w:lineRule="auto"/>
              <w:ind w:right="657"/>
              <w:jc w:val="center"/>
              <w:rPr>
                <w:rFonts w:ascii="Times New Roman" w:eastAsia="Times New Roman" w:hAnsi="Times New Roman" w:cs="Times New Roman"/>
                <w:lang w:eastAsia="hr-HR"/>
              </w:rPr>
            </w:pPr>
          </w:p>
          <w:p w:rsidR="009E024C" w:rsidRPr="00F9530E" w:rsidRDefault="009E024C" w:rsidP="004050BC">
            <w:pPr>
              <w:spacing w:after="0" w:line="240" w:lineRule="auto"/>
              <w:ind w:right="657"/>
              <w:jc w:val="center"/>
              <w:rPr>
                <w:rFonts w:ascii="Times New Roman" w:eastAsia="Times New Roman" w:hAnsi="Times New Roman" w:cs="Times New Roman"/>
                <w:lang w:eastAsia="hr-HR"/>
              </w:rPr>
            </w:pPr>
          </w:p>
          <w:p w:rsidR="009E024C" w:rsidRPr="00F9530E" w:rsidRDefault="009E024C" w:rsidP="004050BC">
            <w:pPr>
              <w:tabs>
                <w:tab w:val="left" w:pos="176"/>
              </w:tabs>
              <w:spacing w:after="0" w:line="240" w:lineRule="auto"/>
              <w:ind w:right="657"/>
              <w:jc w:val="center"/>
              <w:rPr>
                <w:rFonts w:ascii="Times New Roman" w:eastAsia="Times New Roman" w:hAnsi="Times New Roman" w:cs="Times New Roman"/>
                <w:lang w:eastAsia="hr-HR"/>
              </w:rPr>
            </w:pPr>
          </w:p>
          <w:p w:rsidR="009E024C" w:rsidRPr="00F9530E" w:rsidRDefault="009E024C" w:rsidP="004050BC">
            <w:pPr>
              <w:tabs>
                <w:tab w:val="left" w:pos="176"/>
              </w:tabs>
              <w:spacing w:after="0" w:line="240" w:lineRule="auto"/>
              <w:ind w:right="657"/>
              <w:jc w:val="center"/>
              <w:rPr>
                <w:rFonts w:ascii="Times New Roman" w:eastAsia="Times New Roman" w:hAnsi="Times New Roman" w:cs="Times New Roman"/>
                <w:lang w:eastAsia="hr-HR"/>
              </w:rPr>
            </w:pPr>
          </w:p>
          <w:p w:rsidR="009E024C" w:rsidRPr="00F9530E" w:rsidRDefault="009E024C" w:rsidP="004050BC">
            <w:pPr>
              <w:spacing w:after="0" w:line="240" w:lineRule="auto"/>
              <w:ind w:left="34" w:right="657" w:hanging="34"/>
              <w:jc w:val="center"/>
              <w:rPr>
                <w:rFonts w:ascii="Times New Roman" w:eastAsia="Times New Roman" w:hAnsi="Times New Roman" w:cs="Times New Roman"/>
                <w:lang w:eastAsia="hr-HR"/>
              </w:rPr>
            </w:pPr>
            <w:r w:rsidRPr="00F9530E">
              <w:rPr>
                <w:rFonts w:ascii="Times New Roman" w:eastAsia="Times New Roman" w:hAnsi="Times New Roman" w:cs="Times New Roman"/>
                <w:lang w:eastAsia="hr-HR"/>
              </w:rPr>
              <w:t>%</w:t>
            </w:r>
          </w:p>
        </w:tc>
        <w:tc>
          <w:tcPr>
            <w:tcW w:w="1087" w:type="dxa"/>
            <w:shd w:val="clear" w:color="auto" w:fill="auto"/>
          </w:tcPr>
          <w:p w:rsidR="009E024C" w:rsidRPr="00F9530E" w:rsidRDefault="009E024C" w:rsidP="009E024C">
            <w:pPr>
              <w:spacing w:after="0" w:line="240" w:lineRule="auto"/>
              <w:ind w:right="195"/>
              <w:jc w:val="center"/>
              <w:rPr>
                <w:rFonts w:ascii="Times New Roman" w:eastAsia="Times New Roman" w:hAnsi="Times New Roman" w:cs="Times New Roman"/>
                <w:highlight w:val="red"/>
                <w:lang w:eastAsia="hr-HR"/>
              </w:rPr>
            </w:pPr>
          </w:p>
          <w:p w:rsidR="009E024C" w:rsidRPr="00F9530E" w:rsidRDefault="009E024C" w:rsidP="009E024C">
            <w:pPr>
              <w:spacing w:after="0" w:line="240" w:lineRule="auto"/>
              <w:ind w:right="195"/>
              <w:jc w:val="center"/>
              <w:rPr>
                <w:rFonts w:ascii="Times New Roman" w:eastAsia="Times New Roman" w:hAnsi="Times New Roman" w:cs="Times New Roman"/>
                <w:highlight w:val="red"/>
                <w:lang w:eastAsia="hr-HR"/>
              </w:rPr>
            </w:pPr>
          </w:p>
          <w:p w:rsidR="009E024C" w:rsidRPr="00F9530E" w:rsidRDefault="009E024C" w:rsidP="009E024C">
            <w:pPr>
              <w:spacing w:after="0" w:line="240" w:lineRule="auto"/>
              <w:ind w:right="195"/>
              <w:jc w:val="center"/>
              <w:rPr>
                <w:rFonts w:ascii="Times New Roman" w:eastAsia="Times New Roman" w:hAnsi="Times New Roman" w:cs="Times New Roman"/>
                <w:highlight w:val="red"/>
                <w:lang w:eastAsia="hr-HR"/>
              </w:rPr>
            </w:pPr>
          </w:p>
          <w:p w:rsidR="009E024C" w:rsidRPr="00F9530E" w:rsidRDefault="009E024C" w:rsidP="009E024C">
            <w:pPr>
              <w:spacing w:after="0" w:line="240" w:lineRule="auto"/>
              <w:ind w:right="195"/>
              <w:jc w:val="center"/>
              <w:rPr>
                <w:rFonts w:ascii="Times New Roman" w:eastAsia="Times New Roman" w:hAnsi="Times New Roman" w:cs="Times New Roman"/>
                <w:highlight w:val="red"/>
                <w:lang w:eastAsia="hr-HR"/>
              </w:rPr>
            </w:pPr>
          </w:p>
          <w:p w:rsidR="009E024C" w:rsidRPr="00F9530E" w:rsidRDefault="009E024C" w:rsidP="009E024C">
            <w:pPr>
              <w:spacing w:after="0" w:line="240" w:lineRule="auto"/>
              <w:ind w:right="195"/>
              <w:jc w:val="center"/>
              <w:rPr>
                <w:rFonts w:ascii="Times New Roman" w:eastAsia="Times New Roman" w:hAnsi="Times New Roman" w:cs="Times New Roman"/>
                <w:highlight w:val="red"/>
                <w:lang w:eastAsia="hr-HR"/>
              </w:rPr>
            </w:pPr>
            <w:r w:rsidRPr="00F9530E">
              <w:rPr>
                <w:rFonts w:ascii="Times New Roman" w:eastAsia="Times New Roman" w:hAnsi="Times New Roman" w:cs="Times New Roman"/>
                <w:lang w:eastAsia="hr-HR"/>
              </w:rPr>
              <w:t>84,70</w:t>
            </w:r>
          </w:p>
        </w:tc>
        <w:tc>
          <w:tcPr>
            <w:tcW w:w="996" w:type="dxa"/>
            <w:shd w:val="clear" w:color="auto" w:fill="auto"/>
          </w:tcPr>
          <w:p w:rsidR="009E024C" w:rsidRPr="00F9530E" w:rsidRDefault="009E024C" w:rsidP="009E024C">
            <w:pPr>
              <w:spacing w:after="0" w:line="240" w:lineRule="auto"/>
              <w:jc w:val="center"/>
              <w:rPr>
                <w:rFonts w:ascii="Times New Roman" w:eastAsia="Times New Roman" w:hAnsi="Times New Roman" w:cs="Times New Roman"/>
                <w:lang w:eastAsia="hr-HR"/>
              </w:rPr>
            </w:pPr>
          </w:p>
          <w:p w:rsidR="009E024C" w:rsidRPr="00F9530E" w:rsidRDefault="009E024C" w:rsidP="009E024C">
            <w:pPr>
              <w:spacing w:after="0" w:line="240" w:lineRule="auto"/>
              <w:jc w:val="center"/>
              <w:rPr>
                <w:rFonts w:ascii="Times New Roman" w:eastAsia="Times New Roman" w:hAnsi="Times New Roman" w:cs="Times New Roman"/>
                <w:lang w:eastAsia="hr-HR"/>
              </w:rPr>
            </w:pPr>
          </w:p>
          <w:p w:rsidR="009E024C" w:rsidRPr="00F9530E" w:rsidRDefault="009E024C" w:rsidP="009E024C">
            <w:pPr>
              <w:spacing w:after="0" w:line="240" w:lineRule="auto"/>
              <w:jc w:val="center"/>
              <w:rPr>
                <w:rFonts w:ascii="Times New Roman" w:eastAsia="Times New Roman" w:hAnsi="Times New Roman" w:cs="Times New Roman"/>
                <w:lang w:eastAsia="hr-HR"/>
              </w:rPr>
            </w:pPr>
          </w:p>
          <w:p w:rsidR="009E024C" w:rsidRPr="00F9530E" w:rsidRDefault="009E024C" w:rsidP="009E024C">
            <w:pPr>
              <w:spacing w:after="0" w:line="240" w:lineRule="auto"/>
              <w:jc w:val="center"/>
              <w:rPr>
                <w:rFonts w:ascii="Times New Roman" w:eastAsia="Times New Roman" w:hAnsi="Times New Roman" w:cs="Times New Roman"/>
                <w:lang w:eastAsia="hr-HR"/>
              </w:rPr>
            </w:pPr>
            <w:r w:rsidRPr="00F9530E">
              <w:rPr>
                <w:rFonts w:ascii="Times New Roman" w:eastAsia="Times New Roman" w:hAnsi="Times New Roman" w:cs="Times New Roman"/>
                <w:lang w:eastAsia="hr-HR"/>
              </w:rPr>
              <w:t>Računovodstvo</w:t>
            </w:r>
          </w:p>
        </w:tc>
        <w:tc>
          <w:tcPr>
            <w:tcW w:w="1087" w:type="dxa"/>
            <w:shd w:val="clear" w:color="auto" w:fill="auto"/>
          </w:tcPr>
          <w:p w:rsidR="009E024C" w:rsidRPr="00F9530E" w:rsidRDefault="009E024C" w:rsidP="009E024C">
            <w:pPr>
              <w:spacing w:after="0" w:line="240" w:lineRule="auto"/>
              <w:ind w:right="657"/>
              <w:jc w:val="center"/>
              <w:rPr>
                <w:rFonts w:ascii="Times New Roman" w:eastAsia="Times New Roman" w:hAnsi="Times New Roman" w:cs="Times New Roman"/>
                <w:lang w:eastAsia="hr-HR"/>
              </w:rPr>
            </w:pPr>
          </w:p>
          <w:p w:rsidR="009E024C" w:rsidRPr="00F9530E" w:rsidRDefault="009E024C" w:rsidP="009E024C">
            <w:pPr>
              <w:spacing w:after="0" w:line="240" w:lineRule="auto"/>
              <w:ind w:right="657"/>
              <w:jc w:val="center"/>
              <w:rPr>
                <w:rFonts w:ascii="Times New Roman" w:eastAsia="Times New Roman" w:hAnsi="Times New Roman" w:cs="Times New Roman"/>
                <w:lang w:eastAsia="hr-HR"/>
              </w:rPr>
            </w:pPr>
          </w:p>
          <w:p w:rsidR="009E024C" w:rsidRPr="00F9530E" w:rsidRDefault="009E024C" w:rsidP="009E024C">
            <w:pPr>
              <w:spacing w:after="0" w:line="240" w:lineRule="auto"/>
              <w:ind w:right="657"/>
              <w:jc w:val="center"/>
              <w:rPr>
                <w:rFonts w:ascii="Times New Roman" w:eastAsia="Times New Roman" w:hAnsi="Times New Roman" w:cs="Times New Roman"/>
                <w:lang w:eastAsia="hr-HR"/>
              </w:rPr>
            </w:pPr>
          </w:p>
          <w:p w:rsidR="009E024C" w:rsidRPr="00F9530E" w:rsidRDefault="009E024C" w:rsidP="009E024C">
            <w:pPr>
              <w:spacing w:after="0" w:line="240" w:lineRule="auto"/>
              <w:ind w:right="657"/>
              <w:jc w:val="center"/>
              <w:rPr>
                <w:rFonts w:ascii="Times New Roman" w:eastAsia="Times New Roman" w:hAnsi="Times New Roman" w:cs="Times New Roman"/>
                <w:lang w:eastAsia="hr-HR"/>
              </w:rPr>
            </w:pPr>
          </w:p>
          <w:p w:rsidR="009E024C" w:rsidRPr="00F9530E" w:rsidRDefault="009E024C" w:rsidP="009E024C">
            <w:pPr>
              <w:spacing w:after="0" w:line="240" w:lineRule="auto"/>
              <w:ind w:right="10"/>
              <w:jc w:val="center"/>
              <w:rPr>
                <w:rFonts w:ascii="Times New Roman" w:eastAsia="Times New Roman" w:hAnsi="Times New Roman" w:cs="Times New Roman"/>
                <w:lang w:eastAsia="hr-HR"/>
              </w:rPr>
            </w:pPr>
            <w:r w:rsidRPr="00F9530E">
              <w:rPr>
                <w:rFonts w:ascii="Times New Roman" w:eastAsia="Times New Roman" w:hAnsi="Times New Roman" w:cs="Times New Roman"/>
                <w:lang w:eastAsia="hr-HR"/>
              </w:rPr>
              <w:t>78,36</w:t>
            </w:r>
          </w:p>
        </w:tc>
        <w:tc>
          <w:tcPr>
            <w:tcW w:w="1176" w:type="dxa"/>
            <w:shd w:val="clear" w:color="auto" w:fill="auto"/>
          </w:tcPr>
          <w:p w:rsidR="009E024C" w:rsidRPr="00F9530E" w:rsidRDefault="009E024C" w:rsidP="009E024C">
            <w:pPr>
              <w:spacing w:after="0" w:line="240" w:lineRule="auto"/>
              <w:ind w:right="194"/>
              <w:jc w:val="center"/>
              <w:rPr>
                <w:rFonts w:ascii="Times New Roman" w:eastAsia="Times New Roman" w:hAnsi="Times New Roman" w:cs="Times New Roman"/>
                <w:lang w:eastAsia="hr-HR"/>
              </w:rPr>
            </w:pPr>
          </w:p>
          <w:p w:rsidR="009E024C" w:rsidRPr="00F9530E" w:rsidRDefault="009E024C" w:rsidP="009E024C">
            <w:pPr>
              <w:spacing w:after="0" w:line="240" w:lineRule="auto"/>
              <w:ind w:right="194"/>
              <w:jc w:val="center"/>
              <w:rPr>
                <w:rFonts w:ascii="Times New Roman" w:eastAsia="Times New Roman" w:hAnsi="Times New Roman" w:cs="Times New Roman"/>
                <w:lang w:eastAsia="hr-HR"/>
              </w:rPr>
            </w:pPr>
          </w:p>
          <w:p w:rsidR="009E024C" w:rsidRPr="00F9530E" w:rsidRDefault="009E024C" w:rsidP="009E024C">
            <w:pPr>
              <w:spacing w:after="0" w:line="240" w:lineRule="auto"/>
              <w:ind w:right="194"/>
              <w:jc w:val="center"/>
              <w:rPr>
                <w:rFonts w:ascii="Times New Roman" w:eastAsia="Times New Roman" w:hAnsi="Times New Roman" w:cs="Times New Roman"/>
                <w:lang w:eastAsia="hr-HR"/>
              </w:rPr>
            </w:pPr>
          </w:p>
          <w:p w:rsidR="009E024C" w:rsidRPr="00F9530E" w:rsidRDefault="009E024C" w:rsidP="009E024C">
            <w:pPr>
              <w:spacing w:after="0" w:line="240" w:lineRule="auto"/>
              <w:ind w:right="194"/>
              <w:jc w:val="center"/>
              <w:rPr>
                <w:rFonts w:ascii="Times New Roman" w:eastAsia="Times New Roman" w:hAnsi="Times New Roman" w:cs="Times New Roman"/>
                <w:lang w:eastAsia="hr-HR"/>
              </w:rPr>
            </w:pPr>
          </w:p>
          <w:p w:rsidR="009E024C" w:rsidRPr="00F9530E" w:rsidRDefault="009E024C" w:rsidP="009E024C">
            <w:pPr>
              <w:spacing w:after="0" w:line="240" w:lineRule="auto"/>
              <w:ind w:right="194"/>
              <w:jc w:val="center"/>
              <w:rPr>
                <w:rFonts w:ascii="Times New Roman" w:eastAsia="Times New Roman" w:hAnsi="Times New Roman" w:cs="Times New Roman"/>
                <w:lang w:eastAsia="hr-HR"/>
              </w:rPr>
            </w:pPr>
            <w:r w:rsidRPr="00F9530E">
              <w:rPr>
                <w:rFonts w:ascii="Times New Roman" w:eastAsia="Times New Roman" w:hAnsi="Times New Roman" w:cs="Times New Roman"/>
                <w:lang w:eastAsia="hr-HR"/>
              </w:rPr>
              <w:t>79,58</w:t>
            </w:r>
          </w:p>
        </w:tc>
        <w:tc>
          <w:tcPr>
            <w:tcW w:w="1144" w:type="dxa"/>
            <w:shd w:val="clear" w:color="auto" w:fill="auto"/>
          </w:tcPr>
          <w:p w:rsidR="009E024C" w:rsidRPr="00F9530E" w:rsidRDefault="009E024C" w:rsidP="009E024C">
            <w:pPr>
              <w:spacing w:after="0" w:line="240" w:lineRule="auto"/>
              <w:ind w:right="657"/>
              <w:jc w:val="center"/>
              <w:rPr>
                <w:rFonts w:ascii="Times New Roman" w:eastAsia="Times New Roman" w:hAnsi="Times New Roman" w:cs="Times New Roman"/>
                <w:lang w:eastAsia="hr-HR"/>
              </w:rPr>
            </w:pPr>
          </w:p>
          <w:p w:rsidR="009E024C" w:rsidRPr="00F9530E" w:rsidRDefault="009E024C" w:rsidP="009E024C">
            <w:pPr>
              <w:spacing w:after="0" w:line="240" w:lineRule="auto"/>
              <w:ind w:right="657"/>
              <w:jc w:val="center"/>
              <w:rPr>
                <w:rFonts w:ascii="Times New Roman" w:eastAsia="Times New Roman" w:hAnsi="Times New Roman" w:cs="Times New Roman"/>
                <w:lang w:eastAsia="hr-HR"/>
              </w:rPr>
            </w:pPr>
          </w:p>
          <w:p w:rsidR="009E024C" w:rsidRPr="00F9530E" w:rsidRDefault="009E024C" w:rsidP="009E024C">
            <w:pPr>
              <w:spacing w:after="0" w:line="240" w:lineRule="auto"/>
              <w:ind w:right="657"/>
              <w:jc w:val="center"/>
              <w:rPr>
                <w:rFonts w:ascii="Times New Roman" w:eastAsia="Times New Roman" w:hAnsi="Times New Roman" w:cs="Times New Roman"/>
                <w:lang w:eastAsia="hr-HR"/>
              </w:rPr>
            </w:pPr>
          </w:p>
          <w:p w:rsidR="009E024C" w:rsidRPr="00F9530E" w:rsidRDefault="009E024C" w:rsidP="009E024C">
            <w:pPr>
              <w:spacing w:after="0" w:line="240" w:lineRule="auto"/>
              <w:ind w:right="94"/>
              <w:jc w:val="center"/>
              <w:rPr>
                <w:rFonts w:ascii="Times New Roman" w:eastAsia="Times New Roman" w:hAnsi="Times New Roman" w:cs="Times New Roman"/>
                <w:lang w:eastAsia="hr-HR"/>
              </w:rPr>
            </w:pPr>
          </w:p>
          <w:p w:rsidR="009E024C" w:rsidRPr="00F9530E" w:rsidRDefault="009E024C" w:rsidP="009E024C">
            <w:pPr>
              <w:spacing w:after="0" w:line="240" w:lineRule="auto"/>
              <w:jc w:val="center"/>
              <w:rPr>
                <w:rFonts w:ascii="Times New Roman" w:eastAsia="Times New Roman" w:hAnsi="Times New Roman" w:cs="Times New Roman"/>
                <w:lang w:eastAsia="hr-HR"/>
              </w:rPr>
            </w:pPr>
            <w:r w:rsidRPr="00F9530E">
              <w:rPr>
                <w:rFonts w:ascii="Times New Roman" w:eastAsia="Times New Roman" w:hAnsi="Times New Roman" w:cs="Times New Roman"/>
                <w:lang w:eastAsia="hr-HR"/>
              </w:rPr>
              <w:t>80,05</w:t>
            </w:r>
          </w:p>
        </w:tc>
      </w:tr>
    </w:tbl>
    <w:p w:rsidR="00A75F6F" w:rsidRDefault="00A75F6F" w:rsidP="00A75F6F">
      <w:pPr>
        <w:tabs>
          <w:tab w:val="left" w:pos="851"/>
        </w:tabs>
        <w:spacing w:before="120" w:after="0" w:line="240" w:lineRule="auto"/>
        <w:ind w:right="373"/>
        <w:jc w:val="both"/>
        <w:rPr>
          <w:rFonts w:ascii="Times New Roman" w:eastAsia="Times New Roman" w:hAnsi="Times New Roman" w:cs="Times New Roman"/>
          <w:b/>
          <w:sz w:val="24"/>
          <w:szCs w:val="24"/>
          <w:lang w:eastAsia="hr-HR"/>
        </w:rPr>
      </w:pPr>
    </w:p>
    <w:p w:rsidR="00BE547F" w:rsidRDefault="00BE547F" w:rsidP="00A75F6F">
      <w:pPr>
        <w:tabs>
          <w:tab w:val="left" w:pos="851"/>
        </w:tabs>
        <w:spacing w:before="120" w:after="0" w:line="240" w:lineRule="auto"/>
        <w:ind w:right="373"/>
        <w:jc w:val="both"/>
        <w:rPr>
          <w:rFonts w:ascii="Times New Roman" w:eastAsia="Times New Roman" w:hAnsi="Times New Roman" w:cs="Times New Roman"/>
          <w:b/>
          <w:sz w:val="24"/>
          <w:szCs w:val="24"/>
          <w:lang w:eastAsia="hr-HR"/>
        </w:rPr>
      </w:pPr>
    </w:p>
    <w:p w:rsidR="009E024C" w:rsidRPr="009E024C" w:rsidRDefault="009E024C" w:rsidP="00A75F6F">
      <w:pPr>
        <w:tabs>
          <w:tab w:val="left" w:pos="851"/>
        </w:tabs>
        <w:spacing w:before="120" w:after="0" w:line="240" w:lineRule="auto"/>
        <w:ind w:right="373"/>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 xml:space="preserve">II Aktivnost K895007 – SANACIJA ŠTETE OD POTRESA </w:t>
      </w:r>
    </w:p>
    <w:p w:rsidR="009E024C" w:rsidRPr="009E024C" w:rsidRDefault="009E024C" w:rsidP="00A77817">
      <w:pPr>
        <w:spacing w:before="240" w:after="0" w:line="240" w:lineRule="auto"/>
        <w:ind w:right="91"/>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Zakonske i druge pravne osnove</w:t>
      </w:r>
    </w:p>
    <w:p w:rsidR="009E024C" w:rsidRPr="009E024C" w:rsidRDefault="009E024C" w:rsidP="00A75F6F">
      <w:pPr>
        <w:spacing w:before="120" w:after="0" w:line="240" w:lineRule="auto"/>
        <w:ind w:right="90" w:firstLine="708"/>
        <w:jc w:val="both"/>
        <w:rPr>
          <w:rFonts w:ascii="Times New Roman" w:eastAsia="Times New Roman" w:hAnsi="Times New Roman" w:cs="Times New Roman"/>
          <w:color w:val="000000"/>
          <w:sz w:val="24"/>
          <w:szCs w:val="24"/>
          <w:lang w:eastAsia="hr-HR"/>
        </w:rPr>
      </w:pPr>
      <w:r w:rsidRPr="009E024C">
        <w:rPr>
          <w:rFonts w:ascii="Times New Roman" w:eastAsia="Times New Roman" w:hAnsi="Times New Roman" w:cs="Times New Roman"/>
          <w:sz w:val="24"/>
          <w:szCs w:val="24"/>
          <w:lang w:eastAsia="hr-HR"/>
        </w:rPr>
        <w:t>Odluka Vlade RH o načinu raspodjele bespovratnih financijskih sredstava iz Fonda solidarnosti Europske unije odobrenih za financiranje sanacije šteta od potresa na području grada Zagreba, Krapinsko-zagorske županije, Zagrebačke županije, Sisačko-moslavačke županije, Karlovačke županije, Varaždinske županije, Međimurske županije, Brodsko-posavske županije i Bjelovarsko-bilogorske županije, imenovanju i određivanju zaduženja Nacionalnog koordinacijskog tijela, tijela odgovornih za provedbu financijskog doprinosa i neovisnog revizijskog tijela (NN 125/20); Ugovor o dodjeli bespovratnih financijskih sredstava za operacije koje se financiraju iz Fonda solidarnosti Europske unije za operaciju „Projekt obnove od potresa Upravne zgrade“ – referentni broj Ugovora o dodjeli bespovratnih financijskih sredstava: FSEU2021.MZ007;</w:t>
      </w:r>
      <w:r w:rsidR="00A77817">
        <w:rPr>
          <w:rFonts w:ascii="Times New Roman" w:eastAsia="Times New Roman" w:hAnsi="Times New Roman" w:cs="Times New Roman"/>
          <w:sz w:val="24"/>
          <w:szCs w:val="24"/>
          <w:lang w:eastAsia="hr-HR"/>
        </w:rPr>
        <w:t xml:space="preserve"> Dodatak I, II i III navedenom Ugovoru;</w:t>
      </w:r>
      <w:r w:rsidRPr="009E024C">
        <w:rPr>
          <w:rFonts w:ascii="Times New Roman" w:eastAsia="Times New Roman" w:hAnsi="Times New Roman" w:cs="Times New Roman"/>
          <w:sz w:val="24"/>
          <w:szCs w:val="24"/>
          <w:lang w:eastAsia="hr-HR"/>
        </w:rPr>
        <w:t xml:space="preserve"> Ugovor o dodjeli bespovratnih financijskih sredstava za operacije koje se financiraju iz Fonda </w:t>
      </w:r>
      <w:r w:rsidRPr="009E024C">
        <w:rPr>
          <w:rFonts w:ascii="Times New Roman" w:eastAsia="Times New Roman" w:hAnsi="Times New Roman" w:cs="Times New Roman"/>
          <w:sz w:val="24"/>
          <w:szCs w:val="24"/>
          <w:lang w:eastAsia="hr-HR"/>
        </w:rPr>
        <w:lastRenderedPageBreak/>
        <w:t xml:space="preserve">solidarnosti Europske unije za operaciju „Projekt obnove od potresa Zgrade Interna 2“ – referentni broj Ugovora o dodjeli bespovratnih financijskih sredstava: FSEU.2021.MZ.005; </w:t>
      </w:r>
      <w:r w:rsidR="00A77817">
        <w:rPr>
          <w:rFonts w:ascii="Times New Roman" w:eastAsia="Times New Roman" w:hAnsi="Times New Roman" w:cs="Times New Roman"/>
          <w:sz w:val="24"/>
          <w:szCs w:val="24"/>
          <w:lang w:eastAsia="hr-HR"/>
        </w:rPr>
        <w:t xml:space="preserve">Dodatak I, II i III navedenom Ugovoru; </w:t>
      </w:r>
      <w:r w:rsidRPr="009E024C">
        <w:rPr>
          <w:rFonts w:ascii="Times New Roman" w:eastAsia="Times New Roman" w:hAnsi="Times New Roman" w:cs="Times New Roman"/>
          <w:sz w:val="24"/>
          <w:szCs w:val="24"/>
          <w:lang w:eastAsia="hr-HR"/>
        </w:rPr>
        <w:t>Ugovor o dodjeli bespovratnih financijskih sredstava za operacije koje se financiraju iz Fonda solidarnosti Europske unije za operaciju „Projekt obnove od potresa Zgrade Interna 3“ – referentni broj Ugovora o dodjeli bespovratnih financijskih sredstava: FSEU.2021.MZ.006;</w:t>
      </w:r>
      <w:r w:rsidR="00A77817">
        <w:rPr>
          <w:rFonts w:ascii="Times New Roman" w:eastAsia="Times New Roman" w:hAnsi="Times New Roman" w:cs="Times New Roman"/>
          <w:sz w:val="24"/>
          <w:szCs w:val="24"/>
          <w:lang w:eastAsia="hr-HR"/>
        </w:rPr>
        <w:t xml:space="preserve"> Dodatak I, II i III navedenom Ugovoru;</w:t>
      </w:r>
      <w:r w:rsidRPr="009E024C">
        <w:rPr>
          <w:rFonts w:ascii="Times New Roman" w:eastAsia="Times New Roman" w:hAnsi="Times New Roman" w:cs="Times New Roman"/>
          <w:sz w:val="24"/>
          <w:szCs w:val="24"/>
          <w:lang w:eastAsia="hr-HR"/>
        </w:rPr>
        <w:t xml:space="preserve"> Ugovor o dodjeli bespovratnih financijskih sredstava za operacije koje se financiraju iz Fonda solidarnosti Europske unije za operaciju „Projekt obnove od potresa Zgrade 7 Klinički zavod za kemiju i endokrinologiju“ – referentni broj Ugovora o dodjeli bespovratnih financijskih sredstava: FSEU.2021.MZ.023;</w:t>
      </w:r>
      <w:r w:rsidR="00A77817">
        <w:rPr>
          <w:rFonts w:ascii="Times New Roman" w:eastAsia="Times New Roman" w:hAnsi="Times New Roman" w:cs="Times New Roman"/>
          <w:sz w:val="24"/>
          <w:szCs w:val="24"/>
          <w:lang w:eastAsia="hr-HR"/>
        </w:rPr>
        <w:t xml:space="preserve"> Dodatak I, II i III navedenom Ugovoru;</w:t>
      </w:r>
      <w:r w:rsidRPr="009E024C">
        <w:rPr>
          <w:rFonts w:ascii="Times New Roman" w:eastAsia="Times New Roman" w:hAnsi="Times New Roman" w:cs="Times New Roman"/>
          <w:sz w:val="24"/>
          <w:szCs w:val="24"/>
          <w:lang w:eastAsia="hr-HR"/>
        </w:rPr>
        <w:t xml:space="preserve"> Ugovor o dodjeli bespovratnih financijskih sredstava za operacije koje se financiraju iz Fonda solidarnosti Europske unije za operaciju „Projekt obnove od potresa Zgrade 4 Klinika za očne bolesti i Klinika za kožne i spolne bolesti“ – referentni broj Ugovora o dodjeli bespovratnih financijskih sredstava: FSEU.2021.MZ.033;</w:t>
      </w:r>
      <w:r w:rsidR="00A77817">
        <w:rPr>
          <w:rFonts w:ascii="Times New Roman" w:eastAsia="Times New Roman" w:hAnsi="Times New Roman" w:cs="Times New Roman"/>
          <w:sz w:val="24"/>
          <w:szCs w:val="24"/>
          <w:lang w:eastAsia="hr-HR"/>
        </w:rPr>
        <w:t xml:space="preserve"> Dodatak I, II i III navedenom Ugovoru;</w:t>
      </w:r>
      <w:r w:rsidRPr="009E024C">
        <w:rPr>
          <w:rFonts w:ascii="Times New Roman" w:eastAsia="Times New Roman" w:hAnsi="Times New Roman" w:cs="Times New Roman"/>
          <w:sz w:val="24"/>
          <w:szCs w:val="24"/>
          <w:lang w:eastAsia="hr-HR"/>
        </w:rPr>
        <w:t xml:space="preserve"> Ugovor o dodjeli bespovratnih financijskih sredstava za operacije koje se financiraju iz Fonda solidarnosti Europske unije za operaciju „Projekt obnove od potresa Zgrade 9 Zgrada Klinike za kirurgiju“ – referentni broj Ugovora o dodjeli bespovratnih financijskih sredstava: FSEU.2021.MZ.040; </w:t>
      </w:r>
      <w:r w:rsidR="00A77817">
        <w:rPr>
          <w:rFonts w:ascii="Times New Roman" w:eastAsia="Times New Roman" w:hAnsi="Times New Roman" w:cs="Times New Roman"/>
          <w:sz w:val="24"/>
          <w:szCs w:val="24"/>
          <w:lang w:eastAsia="hr-HR"/>
        </w:rPr>
        <w:t xml:space="preserve">Dodatak I, II i III navedenom Ugovoru; </w:t>
      </w:r>
      <w:r w:rsidRPr="009E024C">
        <w:rPr>
          <w:rFonts w:ascii="Times New Roman" w:eastAsia="Times New Roman" w:hAnsi="Times New Roman" w:cs="Times New Roman"/>
          <w:sz w:val="24"/>
          <w:szCs w:val="24"/>
          <w:lang w:eastAsia="hr-HR"/>
        </w:rPr>
        <w:t xml:space="preserve">Ugovor o dodjeli bespovratnih financijskih sredstava za operacije koje se financiraju iz Fonda solidarnosti Europske unije za operaciju „Projekt obnove od potresa Zgrade 11 – zgrada anestezije, škole i multimedije“ – referentni broj Ugovora o dodjeli bespovratnih financijskih sredstava: FSEU.2022.MZ.032; Ugovor o dodjeli bespovratnih financijskih sredstava za operacije koje se financiraju iz Fonda solidarnosti Europske unije za operaciju „Projekt obnove od potresa Zgrade 5 – Zgrada pedijatrije, ORL, URL i ginekologije“ – referentni broj Ugovora o dodjeli bespovratnih financijskih sredstava: FSEU.2022.MZ.033; Ugovor o dodjeli bespovratnih financijskih sredstava za operacije koje se financiraju iz Fonda solidarnosti Europske unije za operaciju „Projekt obnove od potresa zgrade klinike za traumatologiju“ – referentni broj Ugovora o dodjeli bespovratnih financijskih sredstava: FSEU.2022.MZ.031; </w:t>
      </w:r>
      <w:r w:rsidRPr="009E024C">
        <w:rPr>
          <w:rFonts w:ascii="Times New Roman" w:eastAsia="Times New Roman" w:hAnsi="Times New Roman" w:cs="Times New Roman"/>
          <w:color w:val="000000"/>
          <w:sz w:val="24"/>
          <w:szCs w:val="24"/>
          <w:lang w:eastAsia="hr-HR"/>
        </w:rPr>
        <w:t>Ugovor o dodjeli bespovratnih financijskih sredstava za operacije koje se financiraju iz Fonda solidarnosti Europske unije za operaciju „Projekt obnove od potresa Zgrada Klinike za tumore, Ilica 197“ – referentni broj Ugovora o dodjeli bespovratnih financijskih sredstava FSEU.2022.MZ.041</w:t>
      </w:r>
    </w:p>
    <w:p w:rsidR="00BE547F" w:rsidRPr="009E024C" w:rsidRDefault="00BE547F" w:rsidP="00A77817">
      <w:pPr>
        <w:tabs>
          <w:tab w:val="left" w:pos="851"/>
        </w:tabs>
        <w:spacing w:before="120" w:after="0" w:line="240" w:lineRule="auto"/>
        <w:ind w:right="374"/>
        <w:jc w:val="both"/>
        <w:rPr>
          <w:rFonts w:ascii="Times New Roman" w:eastAsia="Times New Roman" w:hAnsi="Times New Roman" w:cs="Times New Roman"/>
          <w:b/>
          <w:sz w:val="24"/>
          <w:szCs w:val="24"/>
          <w:lang w:eastAsia="hr-HR"/>
        </w:rPr>
      </w:pPr>
    </w:p>
    <w:p w:rsidR="009E024C" w:rsidRPr="009E024C" w:rsidRDefault="009E024C" w:rsidP="00A77817">
      <w:pPr>
        <w:tabs>
          <w:tab w:val="left" w:pos="851"/>
        </w:tabs>
        <w:spacing w:before="120" w:after="0" w:line="240" w:lineRule="auto"/>
        <w:ind w:right="374"/>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Planirana i izvršena financijska sredstva na razini aktivnosti</w:t>
      </w:r>
    </w:p>
    <w:p w:rsidR="009E024C" w:rsidRPr="009E024C" w:rsidRDefault="009E024C" w:rsidP="009E024C">
      <w:pPr>
        <w:tabs>
          <w:tab w:val="left" w:pos="851"/>
        </w:tabs>
        <w:spacing w:after="0" w:line="240" w:lineRule="auto"/>
        <w:ind w:left="709" w:right="374"/>
        <w:jc w:val="both"/>
        <w:rPr>
          <w:rFonts w:ascii="Times New Roman" w:eastAsia="Times New Roman" w:hAnsi="Times New Roman" w:cs="Times New Roman"/>
          <w:b/>
          <w:sz w:val="24"/>
          <w:szCs w:val="24"/>
          <w:lang w:eastAsia="hr-HR"/>
        </w:rPr>
      </w:pPr>
    </w:p>
    <w:tbl>
      <w:tblPr>
        <w:tblW w:w="91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4"/>
        <w:gridCol w:w="1215"/>
        <w:gridCol w:w="1557"/>
        <w:gridCol w:w="1402"/>
        <w:gridCol w:w="1246"/>
        <w:gridCol w:w="1246"/>
        <w:gridCol w:w="1402"/>
      </w:tblGrid>
      <w:tr w:rsidR="009E024C" w:rsidRPr="009E024C" w:rsidTr="008E3300">
        <w:trPr>
          <w:trHeight w:val="596"/>
        </w:trPr>
        <w:tc>
          <w:tcPr>
            <w:tcW w:w="1084" w:type="dxa"/>
            <w:shd w:val="clear" w:color="auto" w:fill="auto"/>
          </w:tcPr>
          <w:p w:rsidR="009E024C" w:rsidRPr="009E024C" w:rsidRDefault="009E024C" w:rsidP="009E024C">
            <w:pPr>
              <w:spacing w:before="120" w:after="0" w:line="240" w:lineRule="auto"/>
              <w:ind w:right="-108"/>
              <w:rPr>
                <w:rFonts w:ascii="Times New Roman" w:eastAsia="Times New Roman" w:hAnsi="Times New Roman" w:cs="Times New Roman"/>
                <w:sz w:val="20"/>
                <w:szCs w:val="20"/>
                <w:lang w:eastAsia="hr-HR"/>
              </w:rPr>
            </w:pPr>
            <w:r w:rsidRPr="009E024C">
              <w:rPr>
                <w:rFonts w:ascii="Times New Roman" w:eastAsia="Times New Roman" w:hAnsi="Times New Roman" w:cs="Times New Roman"/>
                <w:sz w:val="20"/>
                <w:szCs w:val="20"/>
                <w:lang w:eastAsia="hr-HR"/>
              </w:rPr>
              <w:t>Naziv aktivnosti</w:t>
            </w:r>
          </w:p>
        </w:tc>
        <w:tc>
          <w:tcPr>
            <w:tcW w:w="1215" w:type="dxa"/>
            <w:shd w:val="clear" w:color="auto" w:fill="auto"/>
          </w:tcPr>
          <w:p w:rsidR="009E024C" w:rsidRPr="009E024C" w:rsidRDefault="009E024C" w:rsidP="009E024C">
            <w:pPr>
              <w:spacing w:before="120" w:after="0" w:line="240" w:lineRule="auto"/>
              <w:ind w:right="-108"/>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Izvršenje 2022.</w:t>
            </w:r>
          </w:p>
        </w:tc>
        <w:tc>
          <w:tcPr>
            <w:tcW w:w="1557" w:type="dxa"/>
            <w:shd w:val="clear" w:color="auto" w:fill="auto"/>
          </w:tcPr>
          <w:p w:rsidR="009E024C" w:rsidRPr="009E024C" w:rsidRDefault="00511E21" w:rsidP="009E024C">
            <w:pPr>
              <w:spacing w:before="120" w:after="0" w:line="240" w:lineRule="auto"/>
              <w:ind w:right="-80"/>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Rebalans I</w:t>
            </w:r>
            <w:r>
              <w:rPr>
                <w:rFonts w:ascii="Times New Roman" w:eastAsia="Times New Roman" w:hAnsi="Times New Roman" w:cs="Times New Roman"/>
                <w:lang w:eastAsia="hr-HR"/>
              </w:rPr>
              <w:t>I</w:t>
            </w:r>
            <w:r w:rsidRPr="009E024C">
              <w:rPr>
                <w:rFonts w:ascii="Times New Roman" w:eastAsia="Times New Roman" w:hAnsi="Times New Roman" w:cs="Times New Roman"/>
                <w:lang w:eastAsia="hr-HR"/>
              </w:rPr>
              <w:t xml:space="preserve"> Plana 2023.</w:t>
            </w:r>
          </w:p>
        </w:tc>
        <w:tc>
          <w:tcPr>
            <w:tcW w:w="1402" w:type="dxa"/>
            <w:shd w:val="clear" w:color="auto" w:fill="auto"/>
          </w:tcPr>
          <w:p w:rsidR="009E024C" w:rsidRPr="009E024C" w:rsidRDefault="009E024C" w:rsidP="009E024C">
            <w:pPr>
              <w:spacing w:before="120" w:after="0" w:line="240" w:lineRule="auto"/>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Plan 2024.</w:t>
            </w:r>
          </w:p>
        </w:tc>
        <w:tc>
          <w:tcPr>
            <w:tcW w:w="1246" w:type="dxa"/>
            <w:shd w:val="clear" w:color="auto" w:fill="auto"/>
          </w:tcPr>
          <w:p w:rsidR="009E024C" w:rsidRPr="009E024C" w:rsidRDefault="009E024C" w:rsidP="009E024C">
            <w:pPr>
              <w:spacing w:before="120" w:after="0" w:line="240" w:lineRule="auto"/>
              <w:ind w:right="-108"/>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Plan 2025.</w:t>
            </w:r>
          </w:p>
        </w:tc>
        <w:tc>
          <w:tcPr>
            <w:tcW w:w="1246" w:type="dxa"/>
            <w:shd w:val="clear" w:color="auto" w:fill="auto"/>
          </w:tcPr>
          <w:p w:rsidR="009E024C" w:rsidRPr="009E024C" w:rsidRDefault="009E024C" w:rsidP="009E024C">
            <w:pPr>
              <w:spacing w:before="120" w:after="0" w:line="240" w:lineRule="auto"/>
              <w:ind w:right="-108"/>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Plan 2026.</w:t>
            </w:r>
          </w:p>
        </w:tc>
        <w:tc>
          <w:tcPr>
            <w:tcW w:w="1402" w:type="dxa"/>
            <w:shd w:val="clear" w:color="auto" w:fill="auto"/>
          </w:tcPr>
          <w:p w:rsidR="009E024C" w:rsidRPr="009E024C" w:rsidRDefault="009E024C" w:rsidP="009E024C">
            <w:pPr>
              <w:spacing w:before="120" w:after="0" w:line="240" w:lineRule="auto"/>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Indeks 2024/2023</w:t>
            </w:r>
          </w:p>
        </w:tc>
      </w:tr>
      <w:tr w:rsidR="009E024C" w:rsidRPr="009E024C" w:rsidTr="008E3300">
        <w:trPr>
          <w:trHeight w:val="363"/>
        </w:trPr>
        <w:tc>
          <w:tcPr>
            <w:tcW w:w="1084" w:type="dxa"/>
            <w:shd w:val="clear" w:color="auto" w:fill="auto"/>
          </w:tcPr>
          <w:p w:rsidR="009E024C" w:rsidRPr="009E024C" w:rsidRDefault="009E024C" w:rsidP="009E024C">
            <w:pPr>
              <w:spacing w:before="120" w:after="0" w:line="240" w:lineRule="auto"/>
              <w:ind w:left="-49"/>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K895007</w:t>
            </w:r>
          </w:p>
        </w:tc>
        <w:tc>
          <w:tcPr>
            <w:tcW w:w="1215" w:type="dxa"/>
            <w:shd w:val="clear" w:color="auto" w:fill="auto"/>
          </w:tcPr>
          <w:p w:rsidR="009E024C" w:rsidRPr="009E024C" w:rsidRDefault="009E024C" w:rsidP="00A33884">
            <w:pPr>
              <w:spacing w:before="120" w:after="0" w:line="240" w:lineRule="auto"/>
              <w:jc w:val="center"/>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77.840,37</w:t>
            </w:r>
          </w:p>
        </w:tc>
        <w:tc>
          <w:tcPr>
            <w:tcW w:w="1557" w:type="dxa"/>
            <w:shd w:val="clear" w:color="auto" w:fill="auto"/>
          </w:tcPr>
          <w:p w:rsidR="009E024C" w:rsidRPr="009E024C" w:rsidRDefault="00A33884" w:rsidP="00A33884">
            <w:pPr>
              <w:spacing w:before="120" w:after="0" w:line="240" w:lineRule="auto"/>
              <w:ind w:left="-108" w:right="-51" w:firstLine="19"/>
              <w:jc w:val="center"/>
              <w:rPr>
                <w:rFonts w:ascii="Times New Roman" w:eastAsia="Times New Roman" w:hAnsi="Times New Roman" w:cs="Times New Roman"/>
                <w:lang w:eastAsia="hr-HR"/>
              </w:rPr>
            </w:pPr>
            <w:r>
              <w:rPr>
                <w:rFonts w:ascii="Times New Roman" w:eastAsia="Times New Roman" w:hAnsi="Times New Roman" w:cs="Times New Roman"/>
                <w:lang w:eastAsia="hr-HR"/>
              </w:rPr>
              <w:t>19.349.310</w:t>
            </w:r>
          </w:p>
        </w:tc>
        <w:tc>
          <w:tcPr>
            <w:tcW w:w="1402" w:type="dxa"/>
            <w:shd w:val="clear" w:color="auto" w:fill="auto"/>
          </w:tcPr>
          <w:p w:rsidR="009E024C" w:rsidRPr="009E024C" w:rsidRDefault="00A33884" w:rsidP="00A33884">
            <w:pPr>
              <w:spacing w:before="120"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22.876.419</w:t>
            </w:r>
          </w:p>
        </w:tc>
        <w:tc>
          <w:tcPr>
            <w:tcW w:w="1246" w:type="dxa"/>
            <w:shd w:val="clear" w:color="auto" w:fill="auto"/>
          </w:tcPr>
          <w:p w:rsidR="009E024C" w:rsidRPr="009E024C" w:rsidRDefault="00A33884" w:rsidP="00A33884">
            <w:pPr>
              <w:spacing w:before="120" w:after="0" w:line="240" w:lineRule="auto"/>
              <w:ind w:left="-108"/>
              <w:jc w:val="center"/>
              <w:rPr>
                <w:rFonts w:ascii="Times New Roman" w:eastAsia="Times New Roman" w:hAnsi="Times New Roman" w:cs="Times New Roman"/>
                <w:lang w:eastAsia="hr-HR"/>
              </w:rPr>
            </w:pPr>
            <w:r>
              <w:rPr>
                <w:rFonts w:ascii="Times New Roman" w:eastAsia="Times New Roman" w:hAnsi="Times New Roman" w:cs="Times New Roman"/>
                <w:lang w:eastAsia="hr-HR"/>
              </w:rPr>
              <w:t>6.794.957</w:t>
            </w:r>
          </w:p>
        </w:tc>
        <w:tc>
          <w:tcPr>
            <w:tcW w:w="1246" w:type="dxa"/>
            <w:shd w:val="clear" w:color="auto" w:fill="auto"/>
          </w:tcPr>
          <w:p w:rsidR="009E024C" w:rsidRPr="009E024C" w:rsidRDefault="00A33884" w:rsidP="00A33884">
            <w:pPr>
              <w:tabs>
                <w:tab w:val="left" w:pos="1017"/>
              </w:tabs>
              <w:spacing w:before="120" w:after="0" w:line="240" w:lineRule="auto"/>
              <w:ind w:left="-108" w:right="42"/>
              <w:jc w:val="center"/>
              <w:rPr>
                <w:rFonts w:ascii="Times New Roman" w:eastAsia="Times New Roman" w:hAnsi="Times New Roman" w:cs="Times New Roman"/>
                <w:lang w:eastAsia="hr-HR"/>
              </w:rPr>
            </w:pPr>
            <w:r>
              <w:rPr>
                <w:rFonts w:ascii="Times New Roman" w:eastAsia="Times New Roman" w:hAnsi="Times New Roman" w:cs="Times New Roman"/>
                <w:lang w:eastAsia="hr-HR"/>
              </w:rPr>
              <w:t>2.414.565</w:t>
            </w:r>
          </w:p>
        </w:tc>
        <w:tc>
          <w:tcPr>
            <w:tcW w:w="1402" w:type="dxa"/>
            <w:shd w:val="clear" w:color="auto" w:fill="auto"/>
          </w:tcPr>
          <w:p w:rsidR="009E024C" w:rsidRPr="009E024C" w:rsidRDefault="00A33884" w:rsidP="00A33884">
            <w:pPr>
              <w:spacing w:before="120" w:after="0" w:line="240" w:lineRule="auto"/>
              <w:ind w:right="63"/>
              <w:jc w:val="center"/>
              <w:rPr>
                <w:rFonts w:ascii="Times New Roman" w:eastAsia="Times New Roman" w:hAnsi="Times New Roman" w:cs="Times New Roman"/>
                <w:lang w:eastAsia="hr-HR"/>
              </w:rPr>
            </w:pPr>
            <w:r>
              <w:rPr>
                <w:rFonts w:ascii="Times New Roman" w:eastAsia="Times New Roman" w:hAnsi="Times New Roman" w:cs="Times New Roman"/>
                <w:lang w:eastAsia="hr-HR"/>
              </w:rPr>
              <w:t>118,23</w:t>
            </w:r>
          </w:p>
        </w:tc>
      </w:tr>
    </w:tbl>
    <w:p w:rsidR="00A77817" w:rsidRDefault="00A77817" w:rsidP="009E024C">
      <w:pPr>
        <w:spacing w:before="120" w:after="0" w:line="240" w:lineRule="auto"/>
        <w:ind w:left="708" w:right="374" w:firstLine="708"/>
        <w:jc w:val="both"/>
        <w:rPr>
          <w:rFonts w:ascii="Times New Roman" w:eastAsia="Times New Roman" w:hAnsi="Times New Roman" w:cs="Times New Roman"/>
          <w:color w:val="FF0000"/>
          <w:sz w:val="24"/>
          <w:szCs w:val="24"/>
          <w:lang w:eastAsia="hr-HR"/>
        </w:rPr>
      </w:pPr>
    </w:p>
    <w:p w:rsidR="00E16FC7" w:rsidRDefault="00E16FC7" w:rsidP="009E024C">
      <w:pPr>
        <w:spacing w:before="120" w:after="0" w:line="240" w:lineRule="auto"/>
        <w:ind w:left="708" w:right="374" w:firstLine="708"/>
        <w:jc w:val="both"/>
        <w:rPr>
          <w:rFonts w:ascii="Times New Roman" w:eastAsia="Times New Roman" w:hAnsi="Times New Roman" w:cs="Times New Roman"/>
          <w:color w:val="FF0000"/>
          <w:sz w:val="24"/>
          <w:szCs w:val="24"/>
          <w:lang w:eastAsia="hr-HR"/>
        </w:rPr>
      </w:pPr>
    </w:p>
    <w:p w:rsidR="009E024C" w:rsidRPr="009E024C" w:rsidRDefault="009E024C" w:rsidP="00E16FC7">
      <w:pPr>
        <w:spacing w:after="0" w:line="240" w:lineRule="auto"/>
        <w:ind w:right="658"/>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Prikaz i obrazloženje izračuna financijskih sredstava</w:t>
      </w:r>
    </w:p>
    <w:p w:rsidR="009E024C" w:rsidRDefault="009E024C" w:rsidP="00A75F6F">
      <w:pPr>
        <w:spacing w:before="120" w:after="0" w:line="240" w:lineRule="auto"/>
        <w:ind w:right="232" w:firstLine="426"/>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Temeljem Odluke Vlade Republike Hrvatske kojom je utvrđen način raspodjele bespovratnih sredstava iz Fonda solidarnosti EU odobrenih za financiranje sanacije štete od potresa, KBC Sestre milosrdnice će financirati sl</w:t>
      </w:r>
      <w:r w:rsidR="00BE547F">
        <w:rPr>
          <w:rFonts w:ascii="Times New Roman" w:eastAsia="Times New Roman" w:hAnsi="Times New Roman" w:cs="Times New Roman"/>
          <w:sz w:val="24"/>
          <w:szCs w:val="24"/>
          <w:lang w:eastAsia="hr-HR"/>
        </w:rPr>
        <w:t>i</w:t>
      </w:r>
      <w:r w:rsidRPr="009E024C">
        <w:rPr>
          <w:rFonts w:ascii="Times New Roman" w:eastAsia="Times New Roman" w:hAnsi="Times New Roman" w:cs="Times New Roman"/>
          <w:sz w:val="24"/>
          <w:szCs w:val="24"/>
          <w:lang w:eastAsia="hr-HR"/>
        </w:rPr>
        <w:t>jedeće projekte:</w:t>
      </w:r>
    </w:p>
    <w:p w:rsidR="00FE18B6" w:rsidRDefault="009E024C" w:rsidP="00E16FC7">
      <w:pPr>
        <w:spacing w:before="240" w:after="0" w:line="240" w:lineRule="auto"/>
        <w:ind w:right="232" w:firstLine="425"/>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b/>
          <w:sz w:val="24"/>
          <w:szCs w:val="24"/>
          <w:lang w:eastAsia="hr-HR"/>
        </w:rPr>
        <w:t>I</w:t>
      </w:r>
      <w:r w:rsidRPr="009E024C">
        <w:rPr>
          <w:rFonts w:ascii="Times New Roman" w:eastAsia="Times New Roman" w:hAnsi="Times New Roman" w:cs="Times New Roman"/>
          <w:sz w:val="24"/>
          <w:szCs w:val="24"/>
          <w:lang w:eastAsia="hr-HR"/>
        </w:rPr>
        <w:t xml:space="preserve"> </w:t>
      </w:r>
      <w:r w:rsidRPr="009E024C">
        <w:rPr>
          <w:rFonts w:ascii="Times New Roman" w:eastAsia="Times New Roman" w:hAnsi="Times New Roman" w:cs="Times New Roman"/>
          <w:b/>
          <w:sz w:val="24"/>
          <w:szCs w:val="24"/>
          <w:lang w:eastAsia="hr-HR"/>
        </w:rPr>
        <w:t>Sanacija štete od potresa iz ožujka 2020. godine</w:t>
      </w:r>
      <w:r w:rsidRPr="009E024C">
        <w:rPr>
          <w:rFonts w:ascii="Times New Roman" w:eastAsia="Times New Roman" w:hAnsi="Times New Roman" w:cs="Times New Roman"/>
          <w:sz w:val="24"/>
          <w:szCs w:val="24"/>
          <w:lang w:eastAsia="hr-HR"/>
        </w:rPr>
        <w:t xml:space="preserve"> iz izvora financiranja 11 - Opći prihodi i primici i izvora financiranja </w:t>
      </w:r>
      <w:r w:rsidR="004C61BE">
        <w:rPr>
          <w:rFonts w:ascii="Times New Roman" w:eastAsia="Times New Roman" w:hAnsi="Times New Roman" w:cs="Times New Roman"/>
          <w:sz w:val="24"/>
          <w:szCs w:val="24"/>
          <w:lang w:eastAsia="hr-HR"/>
        </w:rPr>
        <w:t>81</w:t>
      </w:r>
      <w:r w:rsidRPr="009E024C">
        <w:rPr>
          <w:rFonts w:ascii="Times New Roman" w:eastAsia="Times New Roman" w:hAnsi="Times New Roman" w:cs="Times New Roman"/>
          <w:sz w:val="24"/>
          <w:szCs w:val="24"/>
          <w:lang w:eastAsia="hr-HR"/>
        </w:rPr>
        <w:t>5</w:t>
      </w:r>
      <w:r w:rsidR="004C61BE">
        <w:rPr>
          <w:rFonts w:ascii="Times New Roman" w:eastAsia="Times New Roman" w:hAnsi="Times New Roman" w:cs="Times New Roman"/>
          <w:sz w:val="24"/>
          <w:szCs w:val="24"/>
          <w:lang w:eastAsia="hr-HR"/>
        </w:rPr>
        <w:t xml:space="preserve"> - Namjenski primici-NPOO</w:t>
      </w:r>
      <w:r w:rsidRPr="009E024C">
        <w:rPr>
          <w:rFonts w:ascii="Times New Roman" w:eastAsia="Times New Roman" w:hAnsi="Times New Roman" w:cs="Times New Roman"/>
          <w:sz w:val="24"/>
          <w:szCs w:val="24"/>
          <w:lang w:eastAsia="hr-HR"/>
        </w:rPr>
        <w:t>:</w:t>
      </w:r>
    </w:p>
    <w:p w:rsidR="00E16FC7" w:rsidRDefault="00E16FC7" w:rsidP="00E16FC7">
      <w:pPr>
        <w:spacing w:after="0" w:line="240" w:lineRule="auto"/>
        <w:jc w:val="both"/>
        <w:rPr>
          <w:rFonts w:ascii="Times New Roman" w:eastAsia="Times New Roman" w:hAnsi="Times New Roman" w:cs="Times New Roman"/>
          <w:sz w:val="24"/>
          <w:szCs w:val="24"/>
          <w:lang w:eastAsia="hr-HR"/>
        </w:rPr>
      </w:pPr>
    </w:p>
    <w:p w:rsidR="009E024C" w:rsidRPr="00E16FC7" w:rsidRDefault="009E024C" w:rsidP="00E16FC7">
      <w:pPr>
        <w:pStyle w:val="Odlomakpopisa"/>
        <w:numPr>
          <w:ilvl w:val="0"/>
          <w:numId w:val="4"/>
        </w:numPr>
        <w:spacing w:after="0" w:line="240" w:lineRule="auto"/>
        <w:ind w:left="426" w:hanging="284"/>
        <w:jc w:val="both"/>
        <w:rPr>
          <w:rFonts w:ascii="Times New Roman" w:eastAsia="Times New Roman" w:hAnsi="Times New Roman" w:cs="Times New Roman"/>
          <w:sz w:val="24"/>
          <w:szCs w:val="24"/>
          <w:lang w:eastAsia="hr-HR"/>
        </w:rPr>
      </w:pPr>
      <w:r w:rsidRPr="00E16FC7">
        <w:rPr>
          <w:rFonts w:ascii="Times New Roman" w:eastAsia="Times New Roman" w:hAnsi="Times New Roman" w:cs="Times New Roman"/>
          <w:sz w:val="24"/>
          <w:szCs w:val="24"/>
          <w:lang w:eastAsia="hr-HR"/>
        </w:rPr>
        <w:lastRenderedPageBreak/>
        <w:t xml:space="preserve">Projekt obnove od potresa Upravne zgrade  </w:t>
      </w:r>
    </w:p>
    <w:p w:rsidR="009E024C" w:rsidRPr="009E024C" w:rsidRDefault="009E024C" w:rsidP="00E16FC7">
      <w:pPr>
        <w:numPr>
          <w:ilvl w:val="0"/>
          <w:numId w:val="4"/>
        </w:numPr>
        <w:spacing w:after="0" w:line="240" w:lineRule="auto"/>
        <w:ind w:left="426" w:hanging="284"/>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Projekt obnove od potresa Zgrade Interna 2</w:t>
      </w:r>
    </w:p>
    <w:p w:rsidR="009E024C" w:rsidRPr="009E024C" w:rsidRDefault="009E024C" w:rsidP="00E16FC7">
      <w:pPr>
        <w:numPr>
          <w:ilvl w:val="0"/>
          <w:numId w:val="4"/>
        </w:numPr>
        <w:spacing w:after="0" w:line="240" w:lineRule="auto"/>
        <w:ind w:left="426" w:hanging="284"/>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Projekt obnove od potresa Zgrade Interna 3</w:t>
      </w:r>
    </w:p>
    <w:p w:rsidR="009E024C" w:rsidRPr="009E024C" w:rsidRDefault="009E024C" w:rsidP="00E16FC7">
      <w:pPr>
        <w:numPr>
          <w:ilvl w:val="0"/>
          <w:numId w:val="4"/>
        </w:numPr>
        <w:spacing w:after="0" w:line="240" w:lineRule="auto"/>
        <w:ind w:left="426" w:hanging="284"/>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 xml:space="preserve">Projekt obnove od potresa Zgrade 7 – Klinički zavod za kemiju i endokrinologiju </w:t>
      </w:r>
    </w:p>
    <w:p w:rsidR="009E024C" w:rsidRPr="009E024C" w:rsidRDefault="009E024C" w:rsidP="00E16FC7">
      <w:pPr>
        <w:numPr>
          <w:ilvl w:val="0"/>
          <w:numId w:val="4"/>
        </w:numPr>
        <w:spacing w:after="0" w:line="240" w:lineRule="auto"/>
        <w:ind w:left="426" w:right="-426" w:hanging="284"/>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Projekt obnove od potresa Zgrade 4 – Klinika za očne bolesti i Klinika za kožne i spolne bolesti</w:t>
      </w:r>
    </w:p>
    <w:p w:rsidR="009E024C" w:rsidRPr="009E024C" w:rsidRDefault="009E024C" w:rsidP="00E16FC7">
      <w:pPr>
        <w:numPr>
          <w:ilvl w:val="0"/>
          <w:numId w:val="4"/>
        </w:numPr>
        <w:spacing w:after="0" w:line="240" w:lineRule="auto"/>
        <w:ind w:left="426" w:hanging="284"/>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Projekt obnove od potresa Zgrade 9 – Klinika za kirurgiju</w:t>
      </w:r>
    </w:p>
    <w:p w:rsidR="009E024C" w:rsidRPr="009E024C" w:rsidRDefault="009E024C" w:rsidP="009E024C">
      <w:pPr>
        <w:spacing w:before="60" w:after="0" w:line="240" w:lineRule="auto"/>
        <w:ind w:left="1134" w:right="232"/>
        <w:jc w:val="both"/>
        <w:rPr>
          <w:rFonts w:ascii="Times New Roman" w:eastAsia="Times New Roman" w:hAnsi="Times New Roman" w:cs="Times New Roman"/>
          <w:sz w:val="24"/>
          <w:szCs w:val="24"/>
          <w:lang w:eastAsia="hr-HR"/>
        </w:rPr>
      </w:pPr>
    </w:p>
    <w:p w:rsidR="009E024C" w:rsidRPr="009E024C" w:rsidRDefault="009E024C" w:rsidP="00A75F6F">
      <w:pPr>
        <w:spacing w:after="0" w:line="240" w:lineRule="auto"/>
        <w:ind w:right="232" w:firstLine="708"/>
        <w:jc w:val="both"/>
        <w:rPr>
          <w:rFonts w:ascii="Times New Roman" w:eastAsia="Times New Roman" w:hAnsi="Times New Roman" w:cs="Times New Roman"/>
          <w:sz w:val="24"/>
          <w:szCs w:val="24"/>
          <w:lang w:eastAsia="hr-HR"/>
        </w:rPr>
      </w:pPr>
      <w:r w:rsidRPr="00A77817">
        <w:rPr>
          <w:rFonts w:ascii="Times New Roman" w:eastAsia="Times New Roman" w:hAnsi="Times New Roman" w:cs="Times New Roman"/>
          <w:b/>
          <w:sz w:val="24"/>
          <w:szCs w:val="24"/>
          <w:lang w:eastAsia="hr-HR"/>
        </w:rPr>
        <w:t>II S</w:t>
      </w:r>
      <w:r w:rsidRPr="009E024C">
        <w:rPr>
          <w:rFonts w:ascii="Times New Roman" w:eastAsia="Times New Roman" w:hAnsi="Times New Roman" w:cs="Times New Roman"/>
          <w:b/>
          <w:sz w:val="24"/>
          <w:szCs w:val="24"/>
          <w:lang w:eastAsia="hr-HR"/>
        </w:rPr>
        <w:t>anacija štete od potresa iz prosinca 2020. godine</w:t>
      </w:r>
      <w:r w:rsidRPr="009E024C">
        <w:rPr>
          <w:rFonts w:ascii="Times New Roman" w:eastAsia="Times New Roman" w:hAnsi="Times New Roman" w:cs="Times New Roman"/>
          <w:sz w:val="24"/>
          <w:szCs w:val="24"/>
          <w:lang w:eastAsia="hr-HR"/>
        </w:rPr>
        <w:t xml:space="preserve"> iz izvora financiranja 11 – Opći prihodi i primici i izvora financiranja 81</w:t>
      </w:r>
      <w:r w:rsidR="004C61BE">
        <w:rPr>
          <w:rFonts w:ascii="Times New Roman" w:eastAsia="Times New Roman" w:hAnsi="Times New Roman" w:cs="Times New Roman"/>
          <w:sz w:val="24"/>
          <w:szCs w:val="24"/>
          <w:lang w:eastAsia="hr-HR"/>
        </w:rPr>
        <w:t>5 – Namjenski primici-NPOO</w:t>
      </w:r>
      <w:r w:rsidRPr="009E024C">
        <w:rPr>
          <w:rFonts w:ascii="Times New Roman" w:eastAsia="Times New Roman" w:hAnsi="Times New Roman" w:cs="Times New Roman"/>
          <w:sz w:val="24"/>
          <w:szCs w:val="24"/>
          <w:lang w:eastAsia="hr-HR"/>
        </w:rPr>
        <w:t>:</w:t>
      </w:r>
    </w:p>
    <w:p w:rsidR="009E024C" w:rsidRPr="009E024C" w:rsidRDefault="009E024C" w:rsidP="00E16FC7">
      <w:pPr>
        <w:numPr>
          <w:ilvl w:val="0"/>
          <w:numId w:val="2"/>
        </w:numPr>
        <w:spacing w:before="120" w:after="0" w:line="240" w:lineRule="auto"/>
        <w:ind w:left="426" w:right="232" w:hanging="215"/>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 xml:space="preserve"> Projekt obnove od potresa Zgrade 11 – Anestezija, škola i multimedija</w:t>
      </w:r>
    </w:p>
    <w:p w:rsidR="009E024C" w:rsidRPr="009E024C" w:rsidRDefault="009E024C" w:rsidP="00E16FC7">
      <w:pPr>
        <w:numPr>
          <w:ilvl w:val="0"/>
          <w:numId w:val="2"/>
        </w:numPr>
        <w:spacing w:after="0" w:line="240" w:lineRule="auto"/>
        <w:ind w:left="426" w:right="232" w:hanging="215"/>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 xml:space="preserve"> Projekt obnove od potresa Zgrade 5 – Pedijatrija, ORL, urologija i ginekologija</w:t>
      </w:r>
    </w:p>
    <w:p w:rsidR="009E024C" w:rsidRPr="009E024C" w:rsidRDefault="009E024C" w:rsidP="00E16FC7">
      <w:pPr>
        <w:numPr>
          <w:ilvl w:val="0"/>
          <w:numId w:val="2"/>
        </w:numPr>
        <w:spacing w:after="0" w:line="240" w:lineRule="auto"/>
        <w:ind w:left="426" w:right="232" w:hanging="215"/>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 xml:space="preserve"> Projekt obnove od potresa Klinike za traumatologiju</w:t>
      </w:r>
    </w:p>
    <w:p w:rsidR="009E024C" w:rsidRPr="009E024C" w:rsidRDefault="009E024C" w:rsidP="00E16FC7">
      <w:pPr>
        <w:numPr>
          <w:ilvl w:val="0"/>
          <w:numId w:val="2"/>
        </w:numPr>
        <w:spacing w:after="0" w:line="240" w:lineRule="auto"/>
        <w:ind w:left="426" w:right="232" w:hanging="215"/>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 xml:space="preserve"> Projekt obnove od potresa Klinike za tumore</w:t>
      </w:r>
    </w:p>
    <w:p w:rsidR="009E024C" w:rsidRPr="009E024C" w:rsidRDefault="009E024C" w:rsidP="00A75F6F">
      <w:pPr>
        <w:spacing w:before="120" w:after="0" w:line="240" w:lineRule="auto"/>
        <w:ind w:right="91" w:firstLine="7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 xml:space="preserve">Svrha svih projekata je nadoknada sredstava za provedene hitne mjere zaštite, utvrđivanje stanja i izrade snimki zatečenog stanja te izrada dokumentacije za provedbu i sama provedba cjelovite obnove koja podrazumijeva dodatno poboljšanje konstrukcije uz prilagodbu suvremenim standardima zgrada koje su oštećene u potresu 22. ožujka 2020. godine, osim zgrade 7 i 4 gdje je zbog značajnih oštećenja potrebno ukloniti građevine </w:t>
      </w:r>
      <w:r w:rsidR="00E36A86">
        <w:rPr>
          <w:rFonts w:ascii="Times New Roman" w:eastAsia="Times New Roman" w:hAnsi="Times New Roman" w:cs="Times New Roman"/>
          <w:sz w:val="24"/>
          <w:szCs w:val="24"/>
          <w:lang w:eastAsia="hr-HR"/>
        </w:rPr>
        <w:t>te</w:t>
      </w:r>
      <w:r w:rsidRPr="009E024C">
        <w:rPr>
          <w:rFonts w:ascii="Times New Roman" w:eastAsia="Times New Roman" w:hAnsi="Times New Roman" w:cs="Times New Roman"/>
          <w:sz w:val="24"/>
          <w:szCs w:val="24"/>
          <w:lang w:eastAsia="hr-HR"/>
        </w:rPr>
        <w:t xml:space="preserve"> izgraditi nove građevine prilagođene suvremenim standardima i propisima u gradnji, </w:t>
      </w:r>
      <w:r w:rsidR="00E36A86">
        <w:rPr>
          <w:rFonts w:ascii="Times New Roman" w:eastAsia="Times New Roman" w:hAnsi="Times New Roman" w:cs="Times New Roman"/>
          <w:sz w:val="24"/>
          <w:szCs w:val="24"/>
          <w:lang w:eastAsia="hr-HR"/>
        </w:rPr>
        <w:t>kao i</w:t>
      </w:r>
      <w:r w:rsidRPr="009E024C">
        <w:rPr>
          <w:rFonts w:ascii="Times New Roman" w:eastAsia="Times New Roman" w:hAnsi="Times New Roman" w:cs="Times New Roman"/>
          <w:sz w:val="24"/>
          <w:szCs w:val="24"/>
          <w:lang w:eastAsia="hr-HR"/>
        </w:rPr>
        <w:t xml:space="preserve"> oštećenih zgrada u potresu s epicentrom u Sisačko-moslavačkoj županiji 28. prosinca 2020. godine.</w:t>
      </w:r>
    </w:p>
    <w:p w:rsidR="009E024C" w:rsidRPr="009E024C" w:rsidRDefault="009E024C" w:rsidP="00470E9F">
      <w:pPr>
        <w:spacing w:before="120" w:after="0" w:line="240" w:lineRule="auto"/>
        <w:ind w:right="91" w:firstLine="703"/>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Za prvu skupinu zgrada koje se obnavljaju od potresa predviđen je završetak u prosincu 2024. godine osim zgrade Klinike za kirurgiju koja bi trebala biti završena u siječnju 2025. godine, dok je za drugu skupinu zgrada predviđen završetak obnove do kraja 2025. godine.</w:t>
      </w:r>
    </w:p>
    <w:p w:rsidR="009E024C" w:rsidRPr="009E024C" w:rsidRDefault="009E024C" w:rsidP="00470E9F">
      <w:pPr>
        <w:spacing w:before="120" w:after="0" w:line="240" w:lineRule="auto"/>
        <w:ind w:right="90" w:firstLine="702"/>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U 2024. godini Kliničkom bolničkom centru je utvrđen iznos od 12.000.000 eura na</w:t>
      </w:r>
      <w:r w:rsidRPr="009E024C">
        <w:rPr>
          <w:rFonts w:ascii="Times New Roman" w:eastAsia="Times New Roman" w:hAnsi="Times New Roman" w:cs="Times New Roman"/>
          <w:b/>
          <w:sz w:val="24"/>
          <w:szCs w:val="24"/>
          <w:lang w:eastAsia="hr-HR"/>
        </w:rPr>
        <w:t xml:space="preserve"> izvoru financiranja 11</w:t>
      </w:r>
      <w:r w:rsidRPr="009E024C">
        <w:rPr>
          <w:rFonts w:ascii="Times New Roman" w:eastAsia="Times New Roman" w:hAnsi="Times New Roman" w:cs="Times New Roman"/>
          <w:sz w:val="24"/>
          <w:szCs w:val="24"/>
          <w:lang w:eastAsia="hr-HR"/>
        </w:rPr>
        <w:t xml:space="preserve"> kao nastavak financiranja projekata nakon završetka korištenja sredstava Fonda solidarnosti Europske unije koja više nisu na raspolaganju nakon 30. lipnja 2023. godine, od čega se 11.697.648 eura odnosi na građevinske radove.</w:t>
      </w:r>
    </w:p>
    <w:p w:rsidR="009E024C" w:rsidRPr="009E024C" w:rsidRDefault="00C05B95" w:rsidP="00470E9F">
      <w:pPr>
        <w:spacing w:before="120" w:after="0" w:line="240" w:lineRule="auto"/>
        <w:ind w:right="90"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Umjesto dosadašnjeg izvora financiranja 581 Mehanizam za oporavak i otpornost, za naredno razdoblje koristi se </w:t>
      </w:r>
      <w:r w:rsidR="009E024C" w:rsidRPr="009E024C">
        <w:rPr>
          <w:rFonts w:ascii="Times New Roman" w:eastAsia="Times New Roman" w:hAnsi="Times New Roman" w:cs="Times New Roman"/>
          <w:b/>
          <w:sz w:val="24"/>
          <w:szCs w:val="24"/>
          <w:lang w:eastAsia="hr-HR"/>
        </w:rPr>
        <w:t>izvor financiranja 81</w:t>
      </w:r>
      <w:r w:rsidR="006553A0">
        <w:rPr>
          <w:rFonts w:ascii="Times New Roman" w:eastAsia="Times New Roman" w:hAnsi="Times New Roman" w:cs="Times New Roman"/>
          <w:b/>
          <w:sz w:val="24"/>
          <w:szCs w:val="24"/>
          <w:lang w:eastAsia="hr-HR"/>
        </w:rPr>
        <w:t xml:space="preserve">5 Namjenski primici-NPOO </w:t>
      </w:r>
      <w:r w:rsidR="006553A0" w:rsidRPr="006553A0">
        <w:rPr>
          <w:rFonts w:ascii="Times New Roman" w:eastAsia="Times New Roman" w:hAnsi="Times New Roman" w:cs="Times New Roman"/>
          <w:sz w:val="24"/>
          <w:szCs w:val="24"/>
          <w:lang w:eastAsia="hr-HR"/>
        </w:rPr>
        <w:t>na kojem je</w:t>
      </w:r>
      <w:r w:rsidR="006553A0">
        <w:rPr>
          <w:rFonts w:ascii="Times New Roman" w:eastAsia="Times New Roman" w:hAnsi="Times New Roman" w:cs="Times New Roman"/>
          <w:b/>
          <w:sz w:val="24"/>
          <w:szCs w:val="24"/>
          <w:lang w:eastAsia="hr-HR"/>
        </w:rPr>
        <w:t xml:space="preserve"> </w:t>
      </w:r>
      <w:r w:rsidR="009E024C" w:rsidRPr="009E024C">
        <w:rPr>
          <w:rFonts w:ascii="Times New Roman" w:eastAsia="Times New Roman" w:hAnsi="Times New Roman" w:cs="Times New Roman"/>
          <w:sz w:val="24"/>
          <w:szCs w:val="24"/>
          <w:lang w:eastAsia="hr-HR"/>
        </w:rPr>
        <w:t>u 2024. godini planiran iznos od 1</w:t>
      </w:r>
      <w:r w:rsidR="006553A0">
        <w:rPr>
          <w:rFonts w:ascii="Times New Roman" w:eastAsia="Times New Roman" w:hAnsi="Times New Roman" w:cs="Times New Roman"/>
          <w:sz w:val="24"/>
          <w:szCs w:val="24"/>
          <w:lang w:eastAsia="hr-HR"/>
        </w:rPr>
        <w:t>0</w:t>
      </w:r>
      <w:r w:rsidR="009E024C" w:rsidRPr="009E024C">
        <w:rPr>
          <w:rFonts w:ascii="Times New Roman" w:eastAsia="Times New Roman" w:hAnsi="Times New Roman" w:cs="Times New Roman"/>
          <w:sz w:val="24"/>
          <w:szCs w:val="24"/>
          <w:lang w:eastAsia="hr-HR"/>
        </w:rPr>
        <w:t>.</w:t>
      </w:r>
      <w:r w:rsidR="006553A0">
        <w:rPr>
          <w:rFonts w:ascii="Times New Roman" w:eastAsia="Times New Roman" w:hAnsi="Times New Roman" w:cs="Times New Roman"/>
          <w:sz w:val="24"/>
          <w:szCs w:val="24"/>
          <w:lang w:eastAsia="hr-HR"/>
        </w:rPr>
        <w:t>87</w:t>
      </w:r>
      <w:r w:rsidR="009E024C" w:rsidRPr="009E024C">
        <w:rPr>
          <w:rFonts w:ascii="Times New Roman" w:eastAsia="Times New Roman" w:hAnsi="Times New Roman" w:cs="Times New Roman"/>
          <w:sz w:val="24"/>
          <w:szCs w:val="24"/>
          <w:lang w:eastAsia="hr-HR"/>
        </w:rPr>
        <w:t>6.</w:t>
      </w:r>
      <w:r w:rsidR="006553A0">
        <w:rPr>
          <w:rFonts w:ascii="Times New Roman" w:eastAsia="Times New Roman" w:hAnsi="Times New Roman" w:cs="Times New Roman"/>
          <w:sz w:val="24"/>
          <w:szCs w:val="24"/>
          <w:lang w:eastAsia="hr-HR"/>
        </w:rPr>
        <w:t>41</w:t>
      </w:r>
      <w:r w:rsidR="009E024C" w:rsidRPr="009E024C">
        <w:rPr>
          <w:rFonts w:ascii="Times New Roman" w:eastAsia="Times New Roman" w:hAnsi="Times New Roman" w:cs="Times New Roman"/>
          <w:sz w:val="24"/>
          <w:szCs w:val="24"/>
          <w:lang w:eastAsia="hr-HR"/>
        </w:rPr>
        <w:t xml:space="preserve">9 eura i najvećim se dijelom odnosi na građevinske radove. Za 2025. godinu na navedenom izvoru financiranja planiran je iznos od </w:t>
      </w:r>
      <w:r w:rsidR="006553A0">
        <w:rPr>
          <w:rFonts w:ascii="Times New Roman" w:eastAsia="Times New Roman" w:hAnsi="Times New Roman" w:cs="Times New Roman"/>
          <w:sz w:val="24"/>
          <w:szCs w:val="24"/>
          <w:lang w:eastAsia="hr-HR"/>
        </w:rPr>
        <w:t>6.794.957</w:t>
      </w:r>
      <w:r w:rsidR="009E024C" w:rsidRPr="009E024C">
        <w:rPr>
          <w:rFonts w:ascii="Times New Roman" w:eastAsia="Times New Roman" w:hAnsi="Times New Roman" w:cs="Times New Roman"/>
          <w:sz w:val="24"/>
          <w:szCs w:val="24"/>
          <w:lang w:eastAsia="hr-HR"/>
        </w:rPr>
        <w:t xml:space="preserve"> eura</w:t>
      </w:r>
      <w:r w:rsidR="006553A0">
        <w:rPr>
          <w:rFonts w:ascii="Times New Roman" w:eastAsia="Times New Roman" w:hAnsi="Times New Roman" w:cs="Times New Roman"/>
          <w:sz w:val="24"/>
          <w:szCs w:val="24"/>
          <w:lang w:eastAsia="hr-HR"/>
        </w:rPr>
        <w:t>, te za 2026. godinu 2.414.565 eura</w:t>
      </w:r>
      <w:r w:rsidR="009E024C" w:rsidRPr="009E024C">
        <w:rPr>
          <w:rFonts w:ascii="Times New Roman" w:eastAsia="Times New Roman" w:hAnsi="Times New Roman" w:cs="Times New Roman"/>
          <w:sz w:val="24"/>
          <w:szCs w:val="24"/>
          <w:lang w:eastAsia="hr-HR"/>
        </w:rPr>
        <w:t xml:space="preserve"> koji će se također najvećim dijelom utrošiti na dodatna ulaganja na građevinskim objektima.</w:t>
      </w:r>
    </w:p>
    <w:p w:rsidR="009E024C" w:rsidRPr="009E024C" w:rsidRDefault="009E024C" w:rsidP="00E16FC7">
      <w:pPr>
        <w:spacing w:before="240" w:after="0" w:line="240" w:lineRule="auto"/>
        <w:ind w:right="658"/>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Pokazatelji rezultata</w:t>
      </w:r>
    </w:p>
    <w:p w:rsidR="009E024C" w:rsidRPr="009E024C" w:rsidRDefault="009E024C" w:rsidP="009E024C">
      <w:pPr>
        <w:spacing w:after="0" w:line="240" w:lineRule="auto"/>
        <w:ind w:left="709" w:right="657"/>
        <w:jc w:val="both"/>
        <w:rPr>
          <w:rFonts w:ascii="Times New Roman" w:eastAsia="Times New Roman" w:hAnsi="Times New Roman" w:cs="Times New Roman"/>
          <w:b/>
          <w:sz w:val="24"/>
          <w:szCs w:val="24"/>
          <w:lang w:eastAsia="hr-HR"/>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268"/>
        <w:gridCol w:w="1134"/>
        <w:gridCol w:w="1134"/>
        <w:gridCol w:w="1134"/>
        <w:gridCol w:w="1134"/>
        <w:gridCol w:w="1134"/>
        <w:gridCol w:w="1134"/>
      </w:tblGrid>
      <w:tr w:rsidR="009E024C" w:rsidRPr="00E36A86" w:rsidTr="00E36A86">
        <w:trPr>
          <w:trHeight w:val="573"/>
        </w:trPr>
        <w:tc>
          <w:tcPr>
            <w:tcW w:w="1560" w:type="dxa"/>
            <w:shd w:val="clear" w:color="auto" w:fill="auto"/>
          </w:tcPr>
          <w:p w:rsidR="009E024C" w:rsidRPr="00E36A86" w:rsidRDefault="009E024C" w:rsidP="009E024C">
            <w:pPr>
              <w:spacing w:after="0" w:line="240" w:lineRule="auto"/>
              <w:ind w:right="-91"/>
              <w:jc w:val="both"/>
              <w:rPr>
                <w:rFonts w:ascii="Times New Roman" w:eastAsia="Times New Roman" w:hAnsi="Times New Roman" w:cs="Times New Roman"/>
                <w:lang w:eastAsia="hr-HR"/>
              </w:rPr>
            </w:pPr>
            <w:r w:rsidRPr="00E36A86">
              <w:rPr>
                <w:rFonts w:ascii="Times New Roman" w:eastAsia="Times New Roman" w:hAnsi="Times New Roman" w:cs="Times New Roman"/>
                <w:lang w:eastAsia="hr-HR"/>
              </w:rPr>
              <w:t>Pokazatelj rezultata</w:t>
            </w:r>
          </w:p>
        </w:tc>
        <w:tc>
          <w:tcPr>
            <w:tcW w:w="2268" w:type="dxa"/>
            <w:shd w:val="clear" w:color="auto" w:fill="auto"/>
          </w:tcPr>
          <w:p w:rsidR="009E024C" w:rsidRPr="00E36A86" w:rsidRDefault="009E024C" w:rsidP="00E36A86">
            <w:pPr>
              <w:spacing w:after="0" w:line="240" w:lineRule="auto"/>
              <w:ind w:left="175" w:right="-91" w:hanging="175"/>
              <w:jc w:val="both"/>
              <w:rPr>
                <w:rFonts w:ascii="Times New Roman" w:eastAsia="Times New Roman" w:hAnsi="Times New Roman" w:cs="Times New Roman"/>
                <w:lang w:eastAsia="hr-HR"/>
              </w:rPr>
            </w:pPr>
            <w:r w:rsidRPr="00E36A86">
              <w:rPr>
                <w:rFonts w:ascii="Times New Roman" w:eastAsia="Times New Roman" w:hAnsi="Times New Roman" w:cs="Times New Roman"/>
                <w:lang w:eastAsia="hr-HR"/>
              </w:rPr>
              <w:t>Definicija</w:t>
            </w:r>
          </w:p>
        </w:tc>
        <w:tc>
          <w:tcPr>
            <w:tcW w:w="1134" w:type="dxa"/>
            <w:shd w:val="clear" w:color="auto" w:fill="auto"/>
          </w:tcPr>
          <w:p w:rsidR="009E024C" w:rsidRPr="00E36A86" w:rsidRDefault="00470E9F" w:rsidP="009E024C">
            <w:pPr>
              <w:spacing w:after="0" w:line="240" w:lineRule="auto"/>
              <w:ind w:left="-108" w:right="-91"/>
              <w:jc w:val="both"/>
              <w:rPr>
                <w:rFonts w:ascii="Times New Roman" w:eastAsia="Times New Roman" w:hAnsi="Times New Roman" w:cs="Times New Roman"/>
                <w:lang w:eastAsia="hr-HR"/>
              </w:rPr>
            </w:pPr>
            <w:r w:rsidRPr="00E36A86">
              <w:rPr>
                <w:rFonts w:ascii="Times New Roman" w:eastAsia="Times New Roman" w:hAnsi="Times New Roman" w:cs="Times New Roman"/>
                <w:lang w:eastAsia="hr-HR"/>
              </w:rPr>
              <w:t xml:space="preserve"> </w:t>
            </w:r>
            <w:r w:rsidR="009E024C" w:rsidRPr="00E36A86">
              <w:rPr>
                <w:rFonts w:ascii="Times New Roman" w:eastAsia="Times New Roman" w:hAnsi="Times New Roman" w:cs="Times New Roman"/>
                <w:lang w:eastAsia="hr-HR"/>
              </w:rPr>
              <w:t>Jedinica</w:t>
            </w:r>
          </w:p>
        </w:tc>
        <w:tc>
          <w:tcPr>
            <w:tcW w:w="1134" w:type="dxa"/>
            <w:shd w:val="clear" w:color="auto" w:fill="auto"/>
          </w:tcPr>
          <w:p w:rsidR="009E024C" w:rsidRPr="00E36A86" w:rsidRDefault="009E024C" w:rsidP="009E024C">
            <w:pPr>
              <w:spacing w:after="0" w:line="240" w:lineRule="auto"/>
              <w:ind w:left="-175" w:right="-91"/>
              <w:jc w:val="center"/>
              <w:rPr>
                <w:rFonts w:ascii="Times New Roman" w:eastAsia="Times New Roman" w:hAnsi="Times New Roman" w:cs="Times New Roman"/>
                <w:lang w:eastAsia="hr-HR"/>
              </w:rPr>
            </w:pPr>
            <w:r w:rsidRPr="00E36A86">
              <w:rPr>
                <w:rFonts w:ascii="Times New Roman" w:eastAsia="Times New Roman" w:hAnsi="Times New Roman" w:cs="Times New Roman"/>
                <w:lang w:eastAsia="hr-HR"/>
              </w:rPr>
              <w:t>Polazna vrijednost</w:t>
            </w:r>
          </w:p>
          <w:p w:rsidR="009E024C" w:rsidRPr="00E36A86" w:rsidRDefault="009E024C" w:rsidP="009E024C">
            <w:pPr>
              <w:spacing w:after="0" w:line="240" w:lineRule="auto"/>
              <w:ind w:left="-175" w:right="-91"/>
              <w:jc w:val="center"/>
              <w:rPr>
                <w:rFonts w:ascii="Times New Roman" w:eastAsia="Times New Roman" w:hAnsi="Times New Roman" w:cs="Times New Roman"/>
                <w:lang w:eastAsia="hr-HR"/>
              </w:rPr>
            </w:pPr>
          </w:p>
        </w:tc>
        <w:tc>
          <w:tcPr>
            <w:tcW w:w="1134" w:type="dxa"/>
            <w:shd w:val="clear" w:color="auto" w:fill="auto"/>
          </w:tcPr>
          <w:p w:rsidR="009E024C" w:rsidRPr="00E36A86" w:rsidRDefault="009E024C" w:rsidP="009E024C">
            <w:pPr>
              <w:spacing w:after="0" w:line="240" w:lineRule="auto"/>
              <w:ind w:right="-91"/>
              <w:jc w:val="both"/>
              <w:rPr>
                <w:rFonts w:ascii="Times New Roman" w:eastAsia="Times New Roman" w:hAnsi="Times New Roman" w:cs="Times New Roman"/>
                <w:lang w:eastAsia="hr-HR"/>
              </w:rPr>
            </w:pPr>
            <w:r w:rsidRPr="00E36A86">
              <w:rPr>
                <w:rFonts w:ascii="Times New Roman" w:eastAsia="Times New Roman" w:hAnsi="Times New Roman" w:cs="Times New Roman"/>
                <w:lang w:eastAsia="hr-HR"/>
              </w:rPr>
              <w:t>Izvor podataka</w:t>
            </w:r>
          </w:p>
        </w:tc>
        <w:tc>
          <w:tcPr>
            <w:tcW w:w="1134" w:type="dxa"/>
            <w:shd w:val="clear" w:color="auto" w:fill="auto"/>
          </w:tcPr>
          <w:p w:rsidR="009E024C" w:rsidRPr="00E36A86" w:rsidRDefault="009E024C" w:rsidP="009E024C">
            <w:pPr>
              <w:spacing w:after="0" w:line="240" w:lineRule="auto"/>
              <w:ind w:right="-91"/>
              <w:jc w:val="both"/>
              <w:rPr>
                <w:rFonts w:ascii="Times New Roman" w:eastAsia="Times New Roman" w:hAnsi="Times New Roman" w:cs="Times New Roman"/>
                <w:lang w:eastAsia="hr-HR"/>
              </w:rPr>
            </w:pPr>
            <w:r w:rsidRPr="00E36A86">
              <w:rPr>
                <w:rFonts w:ascii="Times New Roman" w:eastAsia="Times New Roman" w:hAnsi="Times New Roman" w:cs="Times New Roman"/>
                <w:lang w:eastAsia="hr-HR"/>
              </w:rPr>
              <w:t>Ciljana vrijednost (2024.)</w:t>
            </w:r>
          </w:p>
        </w:tc>
        <w:tc>
          <w:tcPr>
            <w:tcW w:w="1134" w:type="dxa"/>
            <w:shd w:val="clear" w:color="auto" w:fill="auto"/>
          </w:tcPr>
          <w:p w:rsidR="009E024C" w:rsidRPr="00E36A86" w:rsidRDefault="009E024C" w:rsidP="009E024C">
            <w:pPr>
              <w:spacing w:after="0" w:line="240" w:lineRule="auto"/>
              <w:ind w:right="-108"/>
              <w:rPr>
                <w:rFonts w:ascii="Times New Roman" w:eastAsia="Times New Roman" w:hAnsi="Times New Roman" w:cs="Times New Roman"/>
                <w:lang w:eastAsia="hr-HR"/>
              </w:rPr>
            </w:pPr>
            <w:r w:rsidRPr="00E36A86">
              <w:rPr>
                <w:rFonts w:ascii="Times New Roman" w:eastAsia="Times New Roman" w:hAnsi="Times New Roman" w:cs="Times New Roman"/>
                <w:lang w:eastAsia="hr-HR"/>
              </w:rPr>
              <w:t>Ciljana vrijednost (2025.)</w:t>
            </w:r>
          </w:p>
        </w:tc>
        <w:tc>
          <w:tcPr>
            <w:tcW w:w="1134" w:type="dxa"/>
            <w:shd w:val="clear" w:color="auto" w:fill="auto"/>
          </w:tcPr>
          <w:p w:rsidR="009E024C" w:rsidRPr="00E36A86" w:rsidRDefault="009E024C" w:rsidP="00470E9F">
            <w:pPr>
              <w:spacing w:after="0" w:line="240" w:lineRule="auto"/>
              <w:rPr>
                <w:rFonts w:ascii="Times New Roman" w:eastAsia="Times New Roman" w:hAnsi="Times New Roman" w:cs="Times New Roman"/>
                <w:lang w:eastAsia="hr-HR"/>
              </w:rPr>
            </w:pPr>
            <w:r w:rsidRPr="00E36A86">
              <w:rPr>
                <w:rFonts w:ascii="Times New Roman" w:eastAsia="Times New Roman" w:hAnsi="Times New Roman" w:cs="Times New Roman"/>
                <w:lang w:eastAsia="hr-HR"/>
              </w:rPr>
              <w:t>Ciljana vrijednost</w:t>
            </w:r>
            <w:r w:rsidR="00470E9F" w:rsidRPr="00E36A86">
              <w:rPr>
                <w:rFonts w:ascii="Times New Roman" w:eastAsia="Times New Roman" w:hAnsi="Times New Roman" w:cs="Times New Roman"/>
                <w:lang w:eastAsia="hr-HR"/>
              </w:rPr>
              <w:t xml:space="preserve"> </w:t>
            </w:r>
            <w:r w:rsidRPr="00E36A86">
              <w:rPr>
                <w:rFonts w:ascii="Times New Roman" w:eastAsia="Times New Roman" w:hAnsi="Times New Roman" w:cs="Times New Roman"/>
                <w:lang w:eastAsia="hr-HR"/>
              </w:rPr>
              <w:t>(2026.)</w:t>
            </w:r>
          </w:p>
        </w:tc>
      </w:tr>
      <w:tr w:rsidR="009E024C" w:rsidRPr="009E024C" w:rsidTr="00E36A86">
        <w:trPr>
          <w:cantSplit/>
          <w:trHeight w:val="787"/>
        </w:trPr>
        <w:tc>
          <w:tcPr>
            <w:tcW w:w="1560" w:type="dxa"/>
            <w:shd w:val="clear" w:color="auto" w:fill="auto"/>
          </w:tcPr>
          <w:p w:rsidR="009E024C" w:rsidRPr="00E36A86" w:rsidRDefault="009E024C" w:rsidP="00E36A86">
            <w:pPr>
              <w:spacing w:after="0" w:line="240" w:lineRule="auto"/>
              <w:ind w:right="34"/>
              <w:rPr>
                <w:rFonts w:ascii="Times New Roman" w:eastAsia="Times New Roman" w:hAnsi="Times New Roman" w:cs="Times New Roman"/>
              </w:rPr>
            </w:pPr>
            <w:r w:rsidRPr="00E36A86">
              <w:rPr>
                <w:rFonts w:ascii="Times New Roman" w:eastAsia="Times New Roman" w:hAnsi="Times New Roman" w:cs="Times New Roman"/>
              </w:rPr>
              <w:t>Postotak realizacije obnove zgrada oštećenih potresom u ožujku 2020. g</w:t>
            </w:r>
            <w:r w:rsidR="00E36A86">
              <w:rPr>
                <w:rFonts w:ascii="Times New Roman" w:eastAsia="Times New Roman" w:hAnsi="Times New Roman" w:cs="Times New Roman"/>
              </w:rPr>
              <w:t>odine</w:t>
            </w:r>
            <w:r w:rsidR="00E36A86" w:rsidRPr="00E36A86">
              <w:rPr>
                <w:rFonts w:ascii="Times New Roman" w:eastAsia="Times New Roman" w:hAnsi="Times New Roman" w:cs="Times New Roman"/>
              </w:rPr>
              <w:t xml:space="preserve"> i prosincu 2020. g</w:t>
            </w:r>
            <w:r w:rsidR="00E36A86">
              <w:rPr>
                <w:rFonts w:ascii="Times New Roman" w:eastAsia="Times New Roman" w:hAnsi="Times New Roman" w:cs="Times New Roman"/>
              </w:rPr>
              <w:t>odine</w:t>
            </w:r>
          </w:p>
        </w:tc>
        <w:tc>
          <w:tcPr>
            <w:tcW w:w="2268" w:type="dxa"/>
            <w:shd w:val="clear" w:color="auto" w:fill="auto"/>
          </w:tcPr>
          <w:p w:rsidR="009E024C" w:rsidRPr="00E36A86" w:rsidRDefault="009E024C" w:rsidP="00E36A86">
            <w:pPr>
              <w:spacing w:after="0" w:line="240" w:lineRule="auto"/>
              <w:rPr>
                <w:rFonts w:ascii="Times New Roman" w:eastAsia="Times New Roman" w:hAnsi="Times New Roman" w:cs="Times New Roman"/>
              </w:rPr>
            </w:pPr>
            <w:r w:rsidRPr="00E36A86">
              <w:rPr>
                <w:rFonts w:ascii="Times New Roman" w:eastAsia="Times New Roman" w:hAnsi="Times New Roman" w:cs="Times New Roman"/>
                <w:lang w:eastAsia="hr-HR"/>
              </w:rPr>
              <w:t>Udio plaćenih računa za aktivnosti vezane uz obnovu zgrada od potresa u odnosu na ukupnu vrijednost ugovorenih projekata obnove zgrada od potresa iz</w:t>
            </w:r>
            <w:r w:rsidR="00E36A86" w:rsidRPr="00E36A86">
              <w:rPr>
                <w:rFonts w:ascii="Times New Roman" w:eastAsia="Times New Roman" w:hAnsi="Times New Roman" w:cs="Times New Roman"/>
                <w:lang w:eastAsia="hr-HR"/>
              </w:rPr>
              <w:t xml:space="preserve"> ožujka i prosinca  2020. g</w:t>
            </w:r>
            <w:r w:rsidR="00E36A86">
              <w:rPr>
                <w:rFonts w:ascii="Times New Roman" w:eastAsia="Times New Roman" w:hAnsi="Times New Roman" w:cs="Times New Roman"/>
                <w:lang w:eastAsia="hr-HR"/>
              </w:rPr>
              <w:t>odine</w:t>
            </w:r>
          </w:p>
        </w:tc>
        <w:tc>
          <w:tcPr>
            <w:tcW w:w="1134" w:type="dxa"/>
            <w:shd w:val="clear" w:color="auto" w:fill="auto"/>
          </w:tcPr>
          <w:p w:rsidR="009E024C" w:rsidRPr="00E36A86" w:rsidRDefault="009E024C" w:rsidP="009E024C">
            <w:pPr>
              <w:spacing w:after="0" w:line="240" w:lineRule="auto"/>
              <w:ind w:right="-108"/>
              <w:rPr>
                <w:rFonts w:ascii="Times New Roman" w:eastAsia="Times New Roman" w:hAnsi="Times New Roman" w:cs="Times New Roman"/>
                <w:lang w:eastAsia="hr-HR"/>
              </w:rPr>
            </w:pPr>
          </w:p>
          <w:p w:rsidR="009E024C" w:rsidRDefault="009E024C" w:rsidP="00E36A86">
            <w:pPr>
              <w:spacing w:after="0" w:line="240" w:lineRule="auto"/>
              <w:ind w:left="-108" w:right="-44"/>
              <w:jc w:val="center"/>
              <w:rPr>
                <w:rFonts w:ascii="Times New Roman" w:eastAsia="Times New Roman" w:hAnsi="Times New Roman" w:cs="Times New Roman"/>
                <w:lang w:eastAsia="hr-HR"/>
              </w:rPr>
            </w:pPr>
          </w:p>
          <w:p w:rsidR="00E36A86" w:rsidRDefault="009E024C" w:rsidP="00E36A86">
            <w:pPr>
              <w:spacing w:after="0" w:line="240" w:lineRule="auto"/>
              <w:ind w:left="-108" w:right="-44"/>
              <w:jc w:val="center"/>
              <w:rPr>
                <w:rFonts w:ascii="Times New Roman" w:eastAsia="Times New Roman" w:hAnsi="Times New Roman" w:cs="Times New Roman"/>
                <w:lang w:eastAsia="hr-HR"/>
              </w:rPr>
            </w:pPr>
            <w:r w:rsidRPr="00E36A86">
              <w:rPr>
                <w:rFonts w:ascii="Times New Roman" w:eastAsia="Times New Roman" w:hAnsi="Times New Roman" w:cs="Times New Roman"/>
                <w:lang w:eastAsia="hr-HR"/>
              </w:rPr>
              <w:t xml:space="preserve">% </w:t>
            </w:r>
          </w:p>
          <w:p w:rsidR="009E024C" w:rsidRPr="00E36A86" w:rsidRDefault="009E024C" w:rsidP="00E36A86">
            <w:pPr>
              <w:spacing w:after="0" w:line="240" w:lineRule="auto"/>
              <w:ind w:left="-108" w:right="-44"/>
              <w:jc w:val="center"/>
              <w:rPr>
                <w:rFonts w:ascii="Times New Roman" w:eastAsia="Times New Roman" w:hAnsi="Times New Roman" w:cs="Times New Roman"/>
                <w:lang w:eastAsia="hr-HR"/>
              </w:rPr>
            </w:pPr>
            <w:r w:rsidRPr="00E36A86">
              <w:rPr>
                <w:rFonts w:ascii="Times New Roman" w:eastAsia="Times New Roman" w:hAnsi="Times New Roman" w:cs="Times New Roman"/>
                <w:lang w:eastAsia="hr-HR"/>
              </w:rPr>
              <w:t>izvršenja aktivnosti</w:t>
            </w:r>
          </w:p>
        </w:tc>
        <w:tc>
          <w:tcPr>
            <w:tcW w:w="1134" w:type="dxa"/>
            <w:shd w:val="clear" w:color="auto" w:fill="auto"/>
          </w:tcPr>
          <w:p w:rsidR="009E024C" w:rsidRPr="00E36A86" w:rsidRDefault="009E024C" w:rsidP="009E024C">
            <w:pPr>
              <w:spacing w:after="0" w:line="240" w:lineRule="auto"/>
              <w:ind w:right="195"/>
              <w:jc w:val="center"/>
              <w:rPr>
                <w:rFonts w:ascii="Times New Roman" w:eastAsia="Times New Roman" w:hAnsi="Times New Roman" w:cs="Times New Roman"/>
                <w:lang w:eastAsia="hr-HR"/>
              </w:rPr>
            </w:pPr>
            <w:r w:rsidRPr="00E36A86">
              <w:rPr>
                <w:rFonts w:ascii="Times New Roman" w:eastAsia="Times New Roman" w:hAnsi="Times New Roman" w:cs="Times New Roman"/>
                <w:lang w:eastAsia="hr-HR"/>
              </w:rPr>
              <w:t xml:space="preserve">          </w:t>
            </w:r>
          </w:p>
          <w:p w:rsidR="009E024C" w:rsidRPr="00E36A86" w:rsidRDefault="009E024C" w:rsidP="009E024C">
            <w:pPr>
              <w:spacing w:after="0" w:line="240" w:lineRule="auto"/>
              <w:ind w:right="54"/>
              <w:jc w:val="center"/>
              <w:rPr>
                <w:rFonts w:ascii="Times New Roman" w:eastAsia="Times New Roman" w:hAnsi="Times New Roman" w:cs="Times New Roman"/>
                <w:lang w:eastAsia="hr-HR"/>
              </w:rPr>
            </w:pPr>
          </w:p>
          <w:p w:rsidR="009E024C" w:rsidRPr="00E36A86" w:rsidRDefault="009E024C" w:rsidP="009E024C">
            <w:pPr>
              <w:spacing w:after="0" w:line="240" w:lineRule="auto"/>
              <w:ind w:right="54"/>
              <w:jc w:val="center"/>
              <w:rPr>
                <w:rFonts w:ascii="Times New Roman" w:eastAsia="Times New Roman" w:hAnsi="Times New Roman" w:cs="Times New Roman"/>
                <w:lang w:eastAsia="hr-HR"/>
              </w:rPr>
            </w:pPr>
          </w:p>
          <w:p w:rsidR="009E024C" w:rsidRPr="00E36A86" w:rsidRDefault="009E024C" w:rsidP="009E024C">
            <w:pPr>
              <w:spacing w:after="0" w:line="240" w:lineRule="auto"/>
              <w:ind w:right="54"/>
              <w:jc w:val="center"/>
              <w:rPr>
                <w:rFonts w:ascii="Times New Roman" w:eastAsia="Times New Roman" w:hAnsi="Times New Roman" w:cs="Times New Roman"/>
                <w:highlight w:val="red"/>
                <w:lang w:eastAsia="hr-HR"/>
              </w:rPr>
            </w:pPr>
            <w:r w:rsidRPr="00E36A86">
              <w:rPr>
                <w:rFonts w:ascii="Times New Roman" w:eastAsia="Times New Roman" w:hAnsi="Times New Roman" w:cs="Times New Roman"/>
                <w:lang w:eastAsia="hr-HR"/>
              </w:rPr>
              <w:t>0,05 %</w:t>
            </w:r>
          </w:p>
        </w:tc>
        <w:tc>
          <w:tcPr>
            <w:tcW w:w="1134" w:type="dxa"/>
            <w:shd w:val="clear" w:color="auto" w:fill="auto"/>
          </w:tcPr>
          <w:p w:rsidR="009E024C" w:rsidRPr="00E36A86" w:rsidRDefault="009E024C" w:rsidP="009E024C">
            <w:pPr>
              <w:spacing w:after="0" w:line="240" w:lineRule="auto"/>
              <w:ind w:left="-128" w:right="-84"/>
              <w:jc w:val="center"/>
              <w:rPr>
                <w:rFonts w:ascii="Times New Roman" w:eastAsia="Times New Roman" w:hAnsi="Times New Roman" w:cs="Times New Roman"/>
                <w:lang w:eastAsia="hr-HR"/>
              </w:rPr>
            </w:pPr>
          </w:p>
          <w:p w:rsidR="009E024C" w:rsidRPr="00E36A86" w:rsidRDefault="009E024C" w:rsidP="009E024C">
            <w:pPr>
              <w:spacing w:after="0" w:line="240" w:lineRule="auto"/>
              <w:ind w:left="-128" w:right="-84"/>
              <w:jc w:val="center"/>
              <w:rPr>
                <w:rFonts w:ascii="Times New Roman" w:eastAsia="Times New Roman" w:hAnsi="Times New Roman" w:cs="Times New Roman"/>
                <w:lang w:eastAsia="hr-HR"/>
              </w:rPr>
            </w:pPr>
          </w:p>
          <w:p w:rsidR="009E024C" w:rsidRPr="00E36A86" w:rsidRDefault="009E024C" w:rsidP="009E024C">
            <w:pPr>
              <w:spacing w:after="0" w:line="240" w:lineRule="auto"/>
              <w:ind w:left="-128" w:right="-84"/>
              <w:jc w:val="center"/>
              <w:rPr>
                <w:rFonts w:ascii="Times New Roman" w:eastAsia="Times New Roman" w:hAnsi="Times New Roman" w:cs="Times New Roman"/>
                <w:lang w:eastAsia="hr-HR"/>
              </w:rPr>
            </w:pPr>
          </w:p>
          <w:p w:rsidR="009E024C" w:rsidRPr="00E36A86" w:rsidRDefault="009E024C" w:rsidP="009E024C">
            <w:pPr>
              <w:spacing w:after="0" w:line="240" w:lineRule="auto"/>
              <w:ind w:left="-128" w:right="-84"/>
              <w:jc w:val="center"/>
              <w:rPr>
                <w:rFonts w:ascii="Times New Roman" w:eastAsia="Times New Roman" w:hAnsi="Times New Roman" w:cs="Times New Roman"/>
                <w:lang w:eastAsia="hr-HR"/>
              </w:rPr>
            </w:pPr>
            <w:r w:rsidRPr="00E36A86">
              <w:rPr>
                <w:rFonts w:ascii="Times New Roman" w:eastAsia="Times New Roman" w:hAnsi="Times New Roman" w:cs="Times New Roman"/>
                <w:lang w:eastAsia="hr-HR"/>
              </w:rPr>
              <w:t>Računovodstvo</w:t>
            </w:r>
          </w:p>
        </w:tc>
        <w:tc>
          <w:tcPr>
            <w:tcW w:w="1134" w:type="dxa"/>
            <w:shd w:val="clear" w:color="auto" w:fill="auto"/>
          </w:tcPr>
          <w:p w:rsidR="009E024C" w:rsidRPr="00E36A86" w:rsidRDefault="009E024C" w:rsidP="009E024C">
            <w:pPr>
              <w:spacing w:after="0" w:line="240" w:lineRule="auto"/>
              <w:ind w:right="10"/>
              <w:jc w:val="center"/>
              <w:rPr>
                <w:rFonts w:ascii="Times New Roman" w:eastAsia="Times New Roman" w:hAnsi="Times New Roman" w:cs="Times New Roman"/>
                <w:lang w:eastAsia="hr-HR"/>
              </w:rPr>
            </w:pPr>
          </w:p>
          <w:p w:rsidR="009E024C" w:rsidRPr="00E36A86" w:rsidRDefault="009E024C" w:rsidP="009E024C">
            <w:pPr>
              <w:spacing w:after="0" w:line="240" w:lineRule="auto"/>
              <w:ind w:right="10"/>
              <w:jc w:val="center"/>
              <w:rPr>
                <w:rFonts w:ascii="Times New Roman" w:eastAsia="Times New Roman" w:hAnsi="Times New Roman" w:cs="Times New Roman"/>
                <w:lang w:eastAsia="hr-HR"/>
              </w:rPr>
            </w:pPr>
          </w:p>
          <w:p w:rsidR="009E024C" w:rsidRPr="00E36A86" w:rsidRDefault="009E024C" w:rsidP="009E024C">
            <w:pPr>
              <w:spacing w:after="0" w:line="240" w:lineRule="auto"/>
              <w:ind w:right="10"/>
              <w:jc w:val="center"/>
              <w:rPr>
                <w:rFonts w:ascii="Times New Roman" w:eastAsia="Times New Roman" w:hAnsi="Times New Roman" w:cs="Times New Roman"/>
                <w:lang w:eastAsia="hr-HR"/>
              </w:rPr>
            </w:pPr>
          </w:p>
          <w:p w:rsidR="009E024C" w:rsidRPr="00E36A86" w:rsidRDefault="009E024C" w:rsidP="009E024C">
            <w:pPr>
              <w:spacing w:after="0" w:line="240" w:lineRule="auto"/>
              <w:ind w:right="10"/>
              <w:jc w:val="center"/>
              <w:rPr>
                <w:rFonts w:ascii="Times New Roman" w:eastAsia="Times New Roman" w:hAnsi="Times New Roman" w:cs="Times New Roman"/>
                <w:lang w:eastAsia="hr-HR"/>
              </w:rPr>
            </w:pPr>
            <w:r w:rsidRPr="00E36A86">
              <w:rPr>
                <w:rFonts w:ascii="Times New Roman" w:eastAsia="Times New Roman" w:hAnsi="Times New Roman" w:cs="Times New Roman"/>
                <w:lang w:eastAsia="hr-HR"/>
              </w:rPr>
              <w:t>21,40 %</w:t>
            </w:r>
          </w:p>
        </w:tc>
        <w:tc>
          <w:tcPr>
            <w:tcW w:w="1134" w:type="dxa"/>
            <w:shd w:val="clear" w:color="auto" w:fill="auto"/>
          </w:tcPr>
          <w:p w:rsidR="009E024C" w:rsidRPr="00E36A86" w:rsidRDefault="009E024C" w:rsidP="009E024C">
            <w:pPr>
              <w:spacing w:after="0" w:line="240" w:lineRule="auto"/>
              <w:ind w:right="194"/>
              <w:jc w:val="center"/>
              <w:rPr>
                <w:rFonts w:ascii="Times New Roman" w:eastAsia="Times New Roman" w:hAnsi="Times New Roman" w:cs="Times New Roman"/>
                <w:lang w:eastAsia="hr-HR"/>
              </w:rPr>
            </w:pPr>
          </w:p>
          <w:p w:rsidR="009E024C" w:rsidRPr="00E36A86" w:rsidRDefault="009E024C" w:rsidP="00E36A86">
            <w:pPr>
              <w:spacing w:after="0" w:line="240" w:lineRule="auto"/>
              <w:ind w:right="-108"/>
              <w:jc w:val="center"/>
              <w:rPr>
                <w:rFonts w:ascii="Times New Roman" w:eastAsia="Times New Roman" w:hAnsi="Times New Roman" w:cs="Times New Roman"/>
                <w:lang w:eastAsia="hr-HR"/>
              </w:rPr>
            </w:pPr>
          </w:p>
          <w:p w:rsidR="009E024C" w:rsidRPr="00E36A86" w:rsidRDefault="009E024C" w:rsidP="009E024C">
            <w:pPr>
              <w:spacing w:after="0" w:line="240" w:lineRule="auto"/>
              <w:ind w:right="194"/>
              <w:jc w:val="center"/>
              <w:rPr>
                <w:rFonts w:ascii="Times New Roman" w:eastAsia="Times New Roman" w:hAnsi="Times New Roman" w:cs="Times New Roman"/>
                <w:lang w:eastAsia="hr-HR"/>
              </w:rPr>
            </w:pPr>
          </w:p>
          <w:p w:rsidR="009E024C" w:rsidRPr="00E36A86" w:rsidRDefault="005026BB" w:rsidP="009E024C">
            <w:pPr>
              <w:spacing w:after="0" w:line="240" w:lineRule="auto"/>
              <w:ind w:right="194"/>
              <w:jc w:val="center"/>
              <w:rPr>
                <w:rFonts w:ascii="Times New Roman" w:eastAsia="Times New Roman" w:hAnsi="Times New Roman" w:cs="Times New Roman"/>
                <w:lang w:eastAsia="hr-HR"/>
              </w:rPr>
            </w:pPr>
            <w:r w:rsidRPr="00E36A86">
              <w:rPr>
                <w:rFonts w:ascii="Times New Roman" w:eastAsia="Times New Roman" w:hAnsi="Times New Roman" w:cs="Times New Roman"/>
                <w:lang w:eastAsia="hr-HR"/>
              </w:rPr>
              <w:t>95%</w:t>
            </w:r>
          </w:p>
          <w:p w:rsidR="009E024C" w:rsidRPr="00E36A86" w:rsidRDefault="009E024C" w:rsidP="009E024C">
            <w:pPr>
              <w:spacing w:after="0" w:line="240" w:lineRule="auto"/>
              <w:ind w:right="194"/>
              <w:jc w:val="center"/>
              <w:rPr>
                <w:rFonts w:ascii="Times New Roman" w:eastAsia="Times New Roman" w:hAnsi="Times New Roman" w:cs="Times New Roman"/>
                <w:lang w:eastAsia="hr-HR"/>
              </w:rPr>
            </w:pPr>
          </w:p>
        </w:tc>
        <w:tc>
          <w:tcPr>
            <w:tcW w:w="1134" w:type="dxa"/>
            <w:shd w:val="clear" w:color="auto" w:fill="auto"/>
          </w:tcPr>
          <w:p w:rsidR="009E024C" w:rsidRPr="00E36A86" w:rsidRDefault="009E024C" w:rsidP="009E024C">
            <w:pPr>
              <w:spacing w:after="0" w:line="240" w:lineRule="auto"/>
              <w:jc w:val="center"/>
              <w:rPr>
                <w:rFonts w:ascii="Times New Roman" w:eastAsia="Times New Roman" w:hAnsi="Times New Roman" w:cs="Times New Roman"/>
                <w:lang w:eastAsia="hr-HR"/>
              </w:rPr>
            </w:pPr>
          </w:p>
          <w:p w:rsidR="005026BB" w:rsidRPr="00E36A86" w:rsidRDefault="005026BB" w:rsidP="009E024C">
            <w:pPr>
              <w:spacing w:after="0" w:line="240" w:lineRule="auto"/>
              <w:jc w:val="center"/>
              <w:rPr>
                <w:rFonts w:ascii="Times New Roman" w:eastAsia="Times New Roman" w:hAnsi="Times New Roman" w:cs="Times New Roman"/>
                <w:lang w:eastAsia="hr-HR"/>
              </w:rPr>
            </w:pPr>
          </w:p>
          <w:p w:rsidR="005026BB" w:rsidRPr="00E36A86" w:rsidRDefault="005026BB" w:rsidP="009E024C">
            <w:pPr>
              <w:spacing w:after="0" w:line="240" w:lineRule="auto"/>
              <w:jc w:val="center"/>
              <w:rPr>
                <w:rFonts w:ascii="Times New Roman" w:eastAsia="Times New Roman" w:hAnsi="Times New Roman" w:cs="Times New Roman"/>
                <w:lang w:eastAsia="hr-HR"/>
              </w:rPr>
            </w:pPr>
          </w:p>
          <w:p w:rsidR="009E024C" w:rsidRPr="00E36A86" w:rsidRDefault="005026BB" w:rsidP="009E024C">
            <w:pPr>
              <w:spacing w:after="0" w:line="240" w:lineRule="auto"/>
              <w:jc w:val="center"/>
              <w:rPr>
                <w:rFonts w:ascii="Times New Roman" w:eastAsia="Times New Roman" w:hAnsi="Times New Roman" w:cs="Times New Roman"/>
                <w:lang w:eastAsia="hr-HR"/>
              </w:rPr>
            </w:pPr>
            <w:r w:rsidRPr="00E36A86">
              <w:rPr>
                <w:rFonts w:ascii="Times New Roman" w:eastAsia="Times New Roman" w:hAnsi="Times New Roman" w:cs="Times New Roman"/>
                <w:lang w:eastAsia="hr-HR"/>
              </w:rPr>
              <w:t>100%</w:t>
            </w:r>
          </w:p>
        </w:tc>
      </w:tr>
    </w:tbl>
    <w:p w:rsidR="009E024C" w:rsidRPr="009E024C" w:rsidRDefault="009E024C" w:rsidP="00DA1363">
      <w:pPr>
        <w:spacing w:after="240" w:line="240" w:lineRule="auto"/>
        <w:ind w:right="658"/>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lastRenderedPageBreak/>
        <w:t>3605 SIGURNOST GRAĐANA I PRAVA NA ZDRAVSTVENE USLUGE</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417"/>
        <w:gridCol w:w="1418"/>
        <w:gridCol w:w="1417"/>
        <w:gridCol w:w="1418"/>
        <w:gridCol w:w="958"/>
      </w:tblGrid>
      <w:tr w:rsidR="00DA1363" w:rsidRPr="009E024C" w:rsidTr="00B156FC">
        <w:tc>
          <w:tcPr>
            <w:tcW w:w="851" w:type="dxa"/>
            <w:shd w:val="clear" w:color="auto" w:fill="auto"/>
          </w:tcPr>
          <w:p w:rsidR="00DA1363" w:rsidRPr="009E024C" w:rsidRDefault="00DA1363" w:rsidP="00B156FC">
            <w:pPr>
              <w:spacing w:before="120" w:after="0" w:line="240" w:lineRule="auto"/>
              <w:ind w:right="-108"/>
              <w:jc w:val="both"/>
              <w:rPr>
                <w:rFonts w:ascii="Times New Roman" w:eastAsia="Times New Roman" w:hAnsi="Times New Roman" w:cs="Times New Roman"/>
                <w:lang w:eastAsia="hr-HR"/>
              </w:rPr>
            </w:pPr>
          </w:p>
        </w:tc>
        <w:tc>
          <w:tcPr>
            <w:tcW w:w="1701" w:type="dxa"/>
            <w:shd w:val="clear" w:color="auto" w:fill="auto"/>
          </w:tcPr>
          <w:p w:rsidR="00DA1363" w:rsidRPr="009E024C" w:rsidRDefault="00DA1363" w:rsidP="00B156FC">
            <w:pPr>
              <w:spacing w:before="120" w:after="0" w:line="240" w:lineRule="auto"/>
              <w:ind w:right="-108"/>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Izvršenje 2022.</w:t>
            </w:r>
          </w:p>
        </w:tc>
        <w:tc>
          <w:tcPr>
            <w:tcW w:w="1417" w:type="dxa"/>
            <w:shd w:val="clear" w:color="auto" w:fill="auto"/>
          </w:tcPr>
          <w:p w:rsidR="00DA1363" w:rsidRPr="009E024C" w:rsidRDefault="00DA1363" w:rsidP="00B156FC">
            <w:pPr>
              <w:spacing w:before="120" w:after="0" w:line="240" w:lineRule="auto"/>
              <w:ind w:right="33"/>
              <w:jc w:val="center"/>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Rebalans I</w:t>
            </w:r>
            <w:r>
              <w:rPr>
                <w:rFonts w:ascii="Times New Roman" w:eastAsia="Times New Roman" w:hAnsi="Times New Roman" w:cs="Times New Roman"/>
                <w:lang w:eastAsia="hr-HR"/>
              </w:rPr>
              <w:t>I</w:t>
            </w:r>
            <w:r w:rsidRPr="009E024C">
              <w:rPr>
                <w:rFonts w:ascii="Times New Roman" w:eastAsia="Times New Roman" w:hAnsi="Times New Roman" w:cs="Times New Roman"/>
                <w:lang w:eastAsia="hr-HR"/>
              </w:rPr>
              <w:t xml:space="preserve"> Plana 2023.</w:t>
            </w:r>
          </w:p>
        </w:tc>
        <w:tc>
          <w:tcPr>
            <w:tcW w:w="1418" w:type="dxa"/>
            <w:shd w:val="clear" w:color="auto" w:fill="auto"/>
          </w:tcPr>
          <w:p w:rsidR="00DA1363" w:rsidRPr="009E024C" w:rsidRDefault="00DA1363" w:rsidP="00B156FC">
            <w:pPr>
              <w:spacing w:before="120" w:after="0" w:line="240" w:lineRule="auto"/>
              <w:jc w:val="center"/>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Plan 2024.</w:t>
            </w:r>
          </w:p>
        </w:tc>
        <w:tc>
          <w:tcPr>
            <w:tcW w:w="1417" w:type="dxa"/>
            <w:shd w:val="clear" w:color="auto" w:fill="auto"/>
          </w:tcPr>
          <w:p w:rsidR="00DA1363" w:rsidRPr="009E024C" w:rsidRDefault="00DA1363" w:rsidP="00B156FC">
            <w:pPr>
              <w:spacing w:before="120" w:after="0" w:line="240" w:lineRule="auto"/>
              <w:ind w:right="-108"/>
              <w:jc w:val="center"/>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Plan 2025.</w:t>
            </w:r>
          </w:p>
        </w:tc>
        <w:tc>
          <w:tcPr>
            <w:tcW w:w="1418" w:type="dxa"/>
            <w:shd w:val="clear" w:color="auto" w:fill="auto"/>
          </w:tcPr>
          <w:p w:rsidR="00DA1363" w:rsidRPr="009E024C" w:rsidRDefault="00DA1363" w:rsidP="00B156FC">
            <w:pPr>
              <w:tabs>
                <w:tab w:val="left" w:pos="1160"/>
              </w:tabs>
              <w:spacing w:before="120" w:after="0" w:line="240" w:lineRule="auto"/>
              <w:ind w:right="42"/>
              <w:jc w:val="center"/>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Plan 2026.</w:t>
            </w:r>
          </w:p>
        </w:tc>
        <w:tc>
          <w:tcPr>
            <w:tcW w:w="958" w:type="dxa"/>
            <w:shd w:val="clear" w:color="auto" w:fill="auto"/>
          </w:tcPr>
          <w:p w:rsidR="00DA1363" w:rsidRPr="009E024C" w:rsidRDefault="00DA1363" w:rsidP="00B156FC">
            <w:pPr>
              <w:spacing w:before="120" w:after="0" w:line="240" w:lineRule="auto"/>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Indeks 24/23</w:t>
            </w:r>
          </w:p>
        </w:tc>
      </w:tr>
      <w:tr w:rsidR="00DA1363" w:rsidRPr="009E024C" w:rsidTr="00B156FC">
        <w:tc>
          <w:tcPr>
            <w:tcW w:w="851" w:type="dxa"/>
            <w:shd w:val="clear" w:color="auto" w:fill="auto"/>
          </w:tcPr>
          <w:p w:rsidR="00DA1363" w:rsidRPr="00450E80" w:rsidRDefault="00DA1363" w:rsidP="00DA1363">
            <w:pPr>
              <w:tabs>
                <w:tab w:val="left" w:pos="670"/>
              </w:tabs>
              <w:spacing w:before="120" w:after="0" w:line="240" w:lineRule="auto"/>
              <w:ind w:right="73"/>
              <w:jc w:val="both"/>
              <w:rPr>
                <w:rFonts w:ascii="Times New Roman" w:eastAsia="Times New Roman" w:hAnsi="Times New Roman" w:cs="Times New Roman"/>
                <w:lang w:eastAsia="hr-HR"/>
              </w:rPr>
            </w:pPr>
            <w:r>
              <w:rPr>
                <w:rFonts w:ascii="Times New Roman" w:eastAsia="Times New Roman" w:hAnsi="Times New Roman" w:cs="Times New Roman"/>
                <w:lang w:eastAsia="hr-HR"/>
              </w:rPr>
              <w:t>3605</w:t>
            </w:r>
          </w:p>
        </w:tc>
        <w:tc>
          <w:tcPr>
            <w:tcW w:w="1701" w:type="dxa"/>
            <w:shd w:val="clear" w:color="auto" w:fill="auto"/>
          </w:tcPr>
          <w:p w:rsidR="00DA1363" w:rsidRPr="00450E80" w:rsidRDefault="00DA1363" w:rsidP="00B156FC">
            <w:pPr>
              <w:tabs>
                <w:tab w:val="left" w:pos="670"/>
              </w:tabs>
              <w:spacing w:before="120" w:after="0" w:line="240" w:lineRule="auto"/>
              <w:ind w:right="73"/>
              <w:jc w:val="right"/>
              <w:rPr>
                <w:rFonts w:ascii="Times New Roman" w:eastAsia="Times New Roman" w:hAnsi="Times New Roman" w:cs="Times New Roman"/>
                <w:lang w:eastAsia="hr-HR"/>
              </w:rPr>
            </w:pPr>
            <w:r>
              <w:rPr>
                <w:rFonts w:ascii="Times New Roman" w:eastAsia="Times New Roman" w:hAnsi="Times New Roman" w:cs="Times New Roman"/>
                <w:lang w:eastAsia="hr-HR"/>
              </w:rPr>
              <w:t>217.927.368,27</w:t>
            </w:r>
          </w:p>
        </w:tc>
        <w:tc>
          <w:tcPr>
            <w:tcW w:w="1417" w:type="dxa"/>
            <w:shd w:val="clear" w:color="auto" w:fill="auto"/>
          </w:tcPr>
          <w:p w:rsidR="00DA1363" w:rsidRPr="00450E80" w:rsidRDefault="00C0760C" w:rsidP="00C0760C">
            <w:pPr>
              <w:tabs>
                <w:tab w:val="left" w:pos="670"/>
              </w:tabs>
              <w:spacing w:before="120" w:after="0" w:line="240" w:lineRule="auto"/>
              <w:ind w:right="73"/>
              <w:jc w:val="right"/>
              <w:rPr>
                <w:rFonts w:ascii="Times New Roman" w:eastAsia="Times New Roman" w:hAnsi="Times New Roman" w:cs="Times New Roman"/>
                <w:lang w:eastAsia="hr-HR"/>
              </w:rPr>
            </w:pPr>
            <w:r>
              <w:rPr>
                <w:rFonts w:ascii="Times New Roman" w:eastAsia="Times New Roman" w:hAnsi="Times New Roman" w:cs="Times New Roman"/>
                <w:lang w:eastAsia="hr-HR"/>
              </w:rPr>
              <w:t>227</w:t>
            </w:r>
            <w:r w:rsidR="00DA1363">
              <w:rPr>
                <w:rFonts w:ascii="Times New Roman" w:eastAsia="Times New Roman" w:hAnsi="Times New Roman" w:cs="Times New Roman"/>
                <w:lang w:eastAsia="hr-HR"/>
              </w:rPr>
              <w:t>.</w:t>
            </w:r>
            <w:r>
              <w:rPr>
                <w:rFonts w:ascii="Times New Roman" w:eastAsia="Times New Roman" w:hAnsi="Times New Roman" w:cs="Times New Roman"/>
                <w:lang w:eastAsia="hr-HR"/>
              </w:rPr>
              <w:t>276</w:t>
            </w:r>
            <w:r w:rsidR="00DA1363">
              <w:rPr>
                <w:rFonts w:ascii="Times New Roman" w:eastAsia="Times New Roman" w:hAnsi="Times New Roman" w:cs="Times New Roman"/>
                <w:lang w:eastAsia="hr-HR"/>
              </w:rPr>
              <w:t>.</w:t>
            </w:r>
            <w:r>
              <w:rPr>
                <w:rFonts w:ascii="Times New Roman" w:eastAsia="Times New Roman" w:hAnsi="Times New Roman" w:cs="Times New Roman"/>
                <w:lang w:eastAsia="hr-HR"/>
              </w:rPr>
              <w:t>956</w:t>
            </w:r>
          </w:p>
        </w:tc>
        <w:tc>
          <w:tcPr>
            <w:tcW w:w="1418" w:type="dxa"/>
            <w:shd w:val="clear" w:color="auto" w:fill="auto"/>
          </w:tcPr>
          <w:p w:rsidR="00DA1363" w:rsidRPr="00450E80" w:rsidRDefault="00DA1363" w:rsidP="00B156FC">
            <w:pPr>
              <w:tabs>
                <w:tab w:val="left" w:pos="670"/>
              </w:tabs>
              <w:spacing w:before="120" w:after="0" w:line="240" w:lineRule="auto"/>
              <w:ind w:right="73"/>
              <w:jc w:val="right"/>
              <w:rPr>
                <w:rFonts w:ascii="Times New Roman" w:eastAsia="Times New Roman" w:hAnsi="Times New Roman" w:cs="Times New Roman"/>
                <w:lang w:eastAsia="hr-HR"/>
              </w:rPr>
            </w:pPr>
            <w:r>
              <w:rPr>
                <w:rFonts w:ascii="Times New Roman" w:eastAsia="Times New Roman" w:hAnsi="Times New Roman" w:cs="Times New Roman"/>
                <w:lang w:eastAsia="hr-HR"/>
              </w:rPr>
              <w:t>250.672.043</w:t>
            </w:r>
          </w:p>
        </w:tc>
        <w:tc>
          <w:tcPr>
            <w:tcW w:w="1417" w:type="dxa"/>
            <w:shd w:val="clear" w:color="auto" w:fill="auto"/>
          </w:tcPr>
          <w:p w:rsidR="00DA1363" w:rsidRPr="00450E80" w:rsidRDefault="00DA1363" w:rsidP="00B156FC">
            <w:pPr>
              <w:tabs>
                <w:tab w:val="left" w:pos="670"/>
              </w:tabs>
              <w:spacing w:before="120" w:after="0" w:line="240" w:lineRule="auto"/>
              <w:ind w:right="73"/>
              <w:jc w:val="right"/>
              <w:rPr>
                <w:rFonts w:ascii="Times New Roman" w:eastAsia="Times New Roman" w:hAnsi="Times New Roman" w:cs="Times New Roman"/>
                <w:lang w:eastAsia="hr-HR"/>
              </w:rPr>
            </w:pPr>
            <w:r>
              <w:rPr>
                <w:rFonts w:ascii="Times New Roman" w:eastAsia="Times New Roman" w:hAnsi="Times New Roman" w:cs="Times New Roman"/>
                <w:lang w:eastAsia="hr-HR"/>
              </w:rPr>
              <w:t>270.304.192</w:t>
            </w:r>
          </w:p>
        </w:tc>
        <w:tc>
          <w:tcPr>
            <w:tcW w:w="1418" w:type="dxa"/>
            <w:shd w:val="clear" w:color="auto" w:fill="auto"/>
          </w:tcPr>
          <w:p w:rsidR="00DA1363" w:rsidRPr="00450E80" w:rsidRDefault="00DA1363" w:rsidP="00B156FC">
            <w:pPr>
              <w:tabs>
                <w:tab w:val="left" w:pos="670"/>
              </w:tabs>
              <w:spacing w:before="120" w:after="0" w:line="240" w:lineRule="auto"/>
              <w:ind w:right="73"/>
              <w:jc w:val="right"/>
              <w:rPr>
                <w:rFonts w:ascii="Times New Roman" w:eastAsia="Times New Roman" w:hAnsi="Times New Roman" w:cs="Times New Roman"/>
                <w:lang w:eastAsia="hr-HR"/>
              </w:rPr>
            </w:pPr>
            <w:r>
              <w:rPr>
                <w:rFonts w:ascii="Times New Roman" w:eastAsia="Times New Roman" w:hAnsi="Times New Roman" w:cs="Times New Roman"/>
                <w:lang w:eastAsia="hr-HR"/>
              </w:rPr>
              <w:t>291.838.754</w:t>
            </w:r>
          </w:p>
        </w:tc>
        <w:tc>
          <w:tcPr>
            <w:tcW w:w="958" w:type="dxa"/>
            <w:shd w:val="clear" w:color="auto" w:fill="auto"/>
          </w:tcPr>
          <w:p w:rsidR="00DA1363" w:rsidRPr="00450E80" w:rsidRDefault="00DA1363" w:rsidP="00C0760C">
            <w:pPr>
              <w:tabs>
                <w:tab w:val="left" w:pos="670"/>
              </w:tabs>
              <w:spacing w:before="120" w:after="0" w:line="240" w:lineRule="auto"/>
              <w:ind w:right="73"/>
              <w:jc w:val="right"/>
              <w:rPr>
                <w:rFonts w:ascii="Times New Roman" w:eastAsia="Times New Roman" w:hAnsi="Times New Roman" w:cs="Times New Roman"/>
                <w:lang w:eastAsia="hr-HR"/>
              </w:rPr>
            </w:pPr>
            <w:r>
              <w:rPr>
                <w:rFonts w:ascii="Times New Roman" w:eastAsia="Times New Roman" w:hAnsi="Times New Roman" w:cs="Times New Roman"/>
                <w:lang w:eastAsia="hr-HR"/>
              </w:rPr>
              <w:t>1</w:t>
            </w:r>
            <w:r w:rsidR="00C0760C">
              <w:rPr>
                <w:rFonts w:ascii="Times New Roman" w:eastAsia="Times New Roman" w:hAnsi="Times New Roman" w:cs="Times New Roman"/>
                <w:lang w:eastAsia="hr-HR"/>
              </w:rPr>
              <w:t>1</w:t>
            </w:r>
            <w:r>
              <w:rPr>
                <w:rFonts w:ascii="Times New Roman" w:eastAsia="Times New Roman" w:hAnsi="Times New Roman" w:cs="Times New Roman"/>
                <w:lang w:eastAsia="hr-HR"/>
              </w:rPr>
              <w:t>0,</w:t>
            </w:r>
            <w:r w:rsidR="00C0760C">
              <w:rPr>
                <w:rFonts w:ascii="Times New Roman" w:eastAsia="Times New Roman" w:hAnsi="Times New Roman" w:cs="Times New Roman"/>
                <w:lang w:eastAsia="hr-HR"/>
              </w:rPr>
              <w:t>29</w:t>
            </w:r>
          </w:p>
        </w:tc>
      </w:tr>
    </w:tbl>
    <w:p w:rsidR="009E024C" w:rsidRPr="009E024C" w:rsidRDefault="009E024C" w:rsidP="009E024C">
      <w:pPr>
        <w:spacing w:after="0" w:line="240" w:lineRule="auto"/>
        <w:ind w:left="709" w:right="657"/>
        <w:jc w:val="both"/>
        <w:rPr>
          <w:rFonts w:ascii="Times New Roman" w:eastAsia="Times New Roman" w:hAnsi="Times New Roman" w:cs="Times New Roman"/>
          <w:b/>
          <w:sz w:val="24"/>
          <w:szCs w:val="24"/>
          <w:lang w:eastAsia="hr-HR"/>
        </w:rPr>
      </w:pPr>
    </w:p>
    <w:p w:rsidR="009E024C" w:rsidRDefault="009E024C" w:rsidP="00A75F6F">
      <w:pPr>
        <w:spacing w:after="0" w:line="240" w:lineRule="auto"/>
        <w:ind w:right="657"/>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Cilj 1. Zaštita, očuvanje i unapređenje zdravlja</w:t>
      </w:r>
    </w:p>
    <w:p w:rsidR="00DA1363" w:rsidRPr="009E024C" w:rsidRDefault="00DA1363" w:rsidP="00A75F6F">
      <w:pPr>
        <w:spacing w:after="0" w:line="240" w:lineRule="auto"/>
        <w:ind w:right="657"/>
        <w:jc w:val="both"/>
        <w:rPr>
          <w:rFonts w:ascii="Times New Roman" w:eastAsia="Times New Roman" w:hAnsi="Times New Roman" w:cs="Times New Roman"/>
          <w:b/>
          <w:sz w:val="24"/>
          <w:szCs w:val="24"/>
          <w:lang w:eastAsia="hr-HR"/>
        </w:rPr>
      </w:pPr>
    </w:p>
    <w:p w:rsidR="009E024C" w:rsidRPr="009E024C" w:rsidRDefault="009E024C" w:rsidP="009E024C">
      <w:pPr>
        <w:spacing w:after="0" w:line="240" w:lineRule="auto"/>
        <w:ind w:left="709" w:right="657"/>
        <w:jc w:val="both"/>
        <w:rPr>
          <w:rFonts w:ascii="Times New Roman" w:eastAsia="Times New Roman" w:hAnsi="Times New Roman" w:cs="Times New Roman"/>
          <w:b/>
          <w:sz w:val="24"/>
          <w:szCs w:val="24"/>
          <w:lang w:eastAsia="hr-HR"/>
        </w:rPr>
      </w:pPr>
    </w:p>
    <w:p w:rsidR="009E024C" w:rsidRPr="009E024C" w:rsidRDefault="009E024C" w:rsidP="009E024C">
      <w:pPr>
        <w:tabs>
          <w:tab w:val="left" w:pos="284"/>
        </w:tabs>
        <w:spacing w:after="0" w:line="240" w:lineRule="auto"/>
        <w:ind w:right="657"/>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III Aktivnost A895001 – ADMINISTRACIJA I UPRAVLJAN</w:t>
      </w:r>
      <w:r w:rsidR="00A75F6F">
        <w:rPr>
          <w:rFonts w:ascii="Times New Roman" w:eastAsia="Times New Roman" w:hAnsi="Times New Roman" w:cs="Times New Roman"/>
          <w:b/>
          <w:sz w:val="24"/>
          <w:szCs w:val="24"/>
          <w:lang w:eastAsia="hr-HR"/>
        </w:rPr>
        <w:t xml:space="preserve">JE – OSTALI </w:t>
      </w:r>
      <w:r w:rsidR="00A75F6F">
        <w:rPr>
          <w:rFonts w:ascii="Times New Roman" w:eastAsia="Times New Roman" w:hAnsi="Times New Roman" w:cs="Times New Roman"/>
          <w:b/>
          <w:sz w:val="24"/>
          <w:szCs w:val="24"/>
          <w:lang w:eastAsia="hr-HR"/>
        </w:rPr>
        <w:br/>
        <w:t xml:space="preserve">       </w:t>
      </w:r>
      <w:r w:rsidRPr="009E024C">
        <w:rPr>
          <w:rFonts w:ascii="Times New Roman" w:eastAsia="Times New Roman" w:hAnsi="Times New Roman" w:cs="Times New Roman"/>
          <w:b/>
          <w:sz w:val="24"/>
          <w:szCs w:val="24"/>
          <w:lang w:eastAsia="hr-HR"/>
        </w:rPr>
        <w:t>IZVORI  FINANCIRANJA</w:t>
      </w:r>
    </w:p>
    <w:p w:rsidR="008E3300" w:rsidRDefault="008E3300" w:rsidP="00E60FBB">
      <w:pPr>
        <w:spacing w:after="0" w:line="240" w:lineRule="auto"/>
        <w:ind w:right="374"/>
        <w:jc w:val="both"/>
        <w:rPr>
          <w:rFonts w:ascii="Times New Roman" w:eastAsia="Times New Roman" w:hAnsi="Times New Roman" w:cs="Times New Roman"/>
          <w:b/>
          <w:sz w:val="24"/>
          <w:szCs w:val="24"/>
          <w:lang w:eastAsia="hr-HR"/>
        </w:rPr>
      </w:pPr>
    </w:p>
    <w:p w:rsidR="009E024C" w:rsidRPr="009E024C" w:rsidRDefault="009E024C" w:rsidP="00DA1363">
      <w:pPr>
        <w:spacing w:after="0" w:line="240" w:lineRule="auto"/>
        <w:ind w:right="374"/>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Zakonske i druge pravne osnove</w:t>
      </w:r>
    </w:p>
    <w:p w:rsidR="009E024C" w:rsidRDefault="00201D86" w:rsidP="00A75F6F">
      <w:pPr>
        <w:spacing w:before="120" w:after="0" w:line="240" w:lineRule="auto"/>
        <w:ind w:firstLine="708"/>
        <w:jc w:val="both"/>
        <w:rPr>
          <w:rFonts w:ascii="Times New Roman" w:eastAsia="Times New Roman" w:hAnsi="Times New Roman" w:cs="Times New Roman"/>
          <w:sz w:val="24"/>
          <w:szCs w:val="24"/>
          <w:lang w:eastAsia="hr-HR"/>
        </w:rPr>
      </w:pPr>
      <w:r w:rsidRPr="00201D86">
        <w:rPr>
          <w:rFonts w:ascii="Times New Roman" w:eastAsia="Times New Roman" w:hAnsi="Times New Roman" w:cs="Times New Roman"/>
          <w:sz w:val="24"/>
          <w:szCs w:val="24"/>
          <w:lang w:eastAsia="hr-HR"/>
        </w:rPr>
        <w:t>Odluka o proračunskom okviru za razdoblje 2024. - 2026.</w:t>
      </w:r>
      <w:r>
        <w:rPr>
          <w:rFonts w:ascii="Times New Roman" w:eastAsia="Times New Roman" w:hAnsi="Times New Roman" w:cs="Times New Roman"/>
          <w:sz w:val="24"/>
          <w:szCs w:val="24"/>
          <w:lang w:eastAsia="hr-HR"/>
        </w:rPr>
        <w:t xml:space="preserve">; </w:t>
      </w:r>
      <w:r w:rsidR="009E024C" w:rsidRPr="009E024C">
        <w:rPr>
          <w:rFonts w:ascii="Times New Roman" w:eastAsia="Times New Roman" w:hAnsi="Times New Roman" w:cs="Times New Roman"/>
          <w:sz w:val="24"/>
          <w:szCs w:val="24"/>
          <w:lang w:eastAsia="hr-HR"/>
        </w:rPr>
        <w:t>Zakon o zdravstvenoj zaštiti; Zakon o obveznom zdravstvenom osiguranju; Opći uvjeti ugovora o dopunskom zdravstvenom osiguranju; Zakon o djelatnostima u zdravstvu; Zakon o zaštiti prava pacijenata; Odluka o osnovama za sklapanje ugovora o provođenju zdravstvene zaštite iz obveznog zdravstvenog osiguranja; Ugovor o provođenju bolničke i specijalističko-konzilijarne zdravstvene zaštite s HZZO; Zakon o proračunu; Zakon o radu; Zakon o porezu na dohodak; Zakon o PDV-u; Zakon o obveznim odnosima; Zakon o zakupu poslovnog prostora; Pravilnik o uvjetima i načinu provođenja dopunskog zdravstvenog osiguranja; Uredba o fiskalnoj odgovornosti; Interni akt Odluka o naplati nenaplaćenih potraživanja; Kolektivni ugovor za djelatnost zdravstva i zdravstvenog osiguranja; Temeljni kolektivni ugovor za službenike i namještenike u javnim službama; Ugovor o provođenju Nacionalnog programa prevencije raka dojke s HZZO; Ugovor o provođenju Nacionalnog programa ranog otkrivanja raka debelog crijeva s HZZO; Ugovor o provođenju Nacionalnog programa ranog otkrivanja raka vrata maternice s HZZO; Ugovor o provođenju Nacionalnog preventivnog programa ranog otkrivanja slabovidnosti s HZZO; Ugovor o provođenju Nacionalnog programa za probir i rano otkrivanje raka pluća</w:t>
      </w:r>
    </w:p>
    <w:p w:rsidR="009B578B" w:rsidRPr="009E024C" w:rsidRDefault="009B578B" w:rsidP="00A75F6F">
      <w:pPr>
        <w:spacing w:before="120" w:after="0" w:line="240" w:lineRule="auto"/>
        <w:ind w:firstLine="708"/>
        <w:jc w:val="both"/>
        <w:rPr>
          <w:rFonts w:ascii="Times New Roman" w:eastAsia="Times New Roman" w:hAnsi="Times New Roman" w:cs="Times New Roman"/>
          <w:sz w:val="24"/>
          <w:szCs w:val="24"/>
          <w:lang w:eastAsia="hr-HR"/>
        </w:rPr>
      </w:pPr>
    </w:p>
    <w:p w:rsidR="009E024C" w:rsidRPr="009E024C" w:rsidRDefault="009E024C" w:rsidP="00E60FBB">
      <w:pPr>
        <w:tabs>
          <w:tab w:val="left" w:pos="851"/>
        </w:tabs>
        <w:spacing w:before="360" w:after="0" w:line="240" w:lineRule="auto"/>
        <w:ind w:right="374"/>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Planirana i izvršena financijska sredstva na razini aktivnosti</w:t>
      </w:r>
    </w:p>
    <w:p w:rsidR="009E024C" w:rsidRPr="009E024C" w:rsidRDefault="009E024C" w:rsidP="009E024C">
      <w:pPr>
        <w:tabs>
          <w:tab w:val="left" w:pos="284"/>
        </w:tabs>
        <w:spacing w:after="0" w:line="240" w:lineRule="auto"/>
        <w:ind w:left="1249" w:right="657"/>
        <w:jc w:val="both"/>
        <w:rPr>
          <w:rFonts w:ascii="Times New Roman" w:eastAsia="Times New Roman" w:hAnsi="Times New Roman" w:cs="Times New Roman"/>
          <w:b/>
          <w:sz w:val="24"/>
          <w:szCs w:val="24"/>
          <w:lang w:eastAsia="hr-HR"/>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560"/>
        <w:gridCol w:w="1417"/>
        <w:gridCol w:w="1418"/>
        <w:gridCol w:w="1275"/>
        <w:gridCol w:w="1276"/>
        <w:gridCol w:w="1134"/>
      </w:tblGrid>
      <w:tr w:rsidR="009E024C" w:rsidRPr="009E024C" w:rsidTr="00A75F6F">
        <w:tc>
          <w:tcPr>
            <w:tcW w:w="1100" w:type="dxa"/>
            <w:shd w:val="clear" w:color="auto" w:fill="auto"/>
          </w:tcPr>
          <w:p w:rsidR="009E024C" w:rsidRPr="009E024C" w:rsidRDefault="009E024C" w:rsidP="009E024C">
            <w:pPr>
              <w:spacing w:before="120" w:after="0" w:line="240" w:lineRule="auto"/>
              <w:ind w:right="-108"/>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Naziv aktivnosti</w:t>
            </w:r>
          </w:p>
        </w:tc>
        <w:tc>
          <w:tcPr>
            <w:tcW w:w="1560" w:type="dxa"/>
            <w:shd w:val="clear" w:color="auto" w:fill="auto"/>
          </w:tcPr>
          <w:p w:rsidR="009E024C" w:rsidRPr="009E024C" w:rsidRDefault="009E024C" w:rsidP="009E024C">
            <w:pPr>
              <w:spacing w:before="120" w:after="0" w:line="240" w:lineRule="auto"/>
              <w:ind w:right="-108"/>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Izvršenje 2022.</w:t>
            </w:r>
          </w:p>
        </w:tc>
        <w:tc>
          <w:tcPr>
            <w:tcW w:w="1417" w:type="dxa"/>
            <w:shd w:val="clear" w:color="auto" w:fill="auto"/>
          </w:tcPr>
          <w:p w:rsidR="009E024C" w:rsidRPr="009E024C" w:rsidRDefault="00511E21" w:rsidP="009E024C">
            <w:pPr>
              <w:spacing w:before="120" w:after="0" w:line="240" w:lineRule="auto"/>
              <w:ind w:right="-80"/>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Rebalans I</w:t>
            </w:r>
            <w:r>
              <w:rPr>
                <w:rFonts w:ascii="Times New Roman" w:eastAsia="Times New Roman" w:hAnsi="Times New Roman" w:cs="Times New Roman"/>
                <w:lang w:eastAsia="hr-HR"/>
              </w:rPr>
              <w:t>I</w:t>
            </w:r>
            <w:r w:rsidRPr="009E024C">
              <w:rPr>
                <w:rFonts w:ascii="Times New Roman" w:eastAsia="Times New Roman" w:hAnsi="Times New Roman" w:cs="Times New Roman"/>
                <w:lang w:eastAsia="hr-HR"/>
              </w:rPr>
              <w:t xml:space="preserve"> Plana 2023.</w:t>
            </w:r>
          </w:p>
        </w:tc>
        <w:tc>
          <w:tcPr>
            <w:tcW w:w="1418" w:type="dxa"/>
            <w:shd w:val="clear" w:color="auto" w:fill="auto"/>
          </w:tcPr>
          <w:p w:rsidR="009E024C" w:rsidRPr="009E024C" w:rsidRDefault="009E024C" w:rsidP="009E024C">
            <w:pPr>
              <w:spacing w:before="120" w:after="0" w:line="240" w:lineRule="auto"/>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Plan 2024.</w:t>
            </w:r>
          </w:p>
        </w:tc>
        <w:tc>
          <w:tcPr>
            <w:tcW w:w="1275" w:type="dxa"/>
            <w:shd w:val="clear" w:color="auto" w:fill="auto"/>
          </w:tcPr>
          <w:p w:rsidR="009E024C" w:rsidRPr="009E024C" w:rsidRDefault="009E024C" w:rsidP="009E024C">
            <w:pPr>
              <w:spacing w:before="120" w:after="0" w:line="240" w:lineRule="auto"/>
              <w:ind w:right="-108"/>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Plan 2025.</w:t>
            </w:r>
          </w:p>
        </w:tc>
        <w:tc>
          <w:tcPr>
            <w:tcW w:w="1276" w:type="dxa"/>
            <w:shd w:val="clear" w:color="auto" w:fill="auto"/>
          </w:tcPr>
          <w:p w:rsidR="009E024C" w:rsidRPr="009E024C" w:rsidRDefault="009E024C" w:rsidP="009E024C">
            <w:pPr>
              <w:spacing w:before="120" w:after="0" w:line="240" w:lineRule="auto"/>
              <w:ind w:right="-108"/>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Plan 2026.</w:t>
            </w:r>
          </w:p>
        </w:tc>
        <w:tc>
          <w:tcPr>
            <w:tcW w:w="1134" w:type="dxa"/>
            <w:shd w:val="clear" w:color="auto" w:fill="auto"/>
          </w:tcPr>
          <w:p w:rsidR="009E024C" w:rsidRPr="009E024C" w:rsidRDefault="009E024C" w:rsidP="009E024C">
            <w:pPr>
              <w:spacing w:before="120" w:after="0" w:line="240" w:lineRule="auto"/>
              <w:ind w:right="-108"/>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Indeks 24/23</w:t>
            </w:r>
          </w:p>
        </w:tc>
      </w:tr>
      <w:tr w:rsidR="009E024C" w:rsidRPr="009E024C" w:rsidTr="00A75F6F">
        <w:tc>
          <w:tcPr>
            <w:tcW w:w="1100" w:type="dxa"/>
            <w:shd w:val="clear" w:color="auto" w:fill="auto"/>
          </w:tcPr>
          <w:p w:rsidR="009E024C" w:rsidRPr="009E024C" w:rsidRDefault="009E024C" w:rsidP="009E024C">
            <w:pPr>
              <w:spacing w:before="120" w:after="0" w:line="240" w:lineRule="auto"/>
              <w:ind w:right="-108"/>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A895001</w:t>
            </w:r>
          </w:p>
        </w:tc>
        <w:tc>
          <w:tcPr>
            <w:tcW w:w="1560" w:type="dxa"/>
            <w:shd w:val="clear" w:color="auto" w:fill="auto"/>
          </w:tcPr>
          <w:p w:rsidR="009E024C" w:rsidRPr="009E024C" w:rsidRDefault="009E024C" w:rsidP="009E024C">
            <w:pPr>
              <w:spacing w:before="120" w:after="0" w:line="240" w:lineRule="auto"/>
              <w:ind w:right="-108"/>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217.587.018,04</w:t>
            </w:r>
          </w:p>
        </w:tc>
        <w:tc>
          <w:tcPr>
            <w:tcW w:w="1417" w:type="dxa"/>
            <w:shd w:val="clear" w:color="auto" w:fill="auto"/>
          </w:tcPr>
          <w:p w:rsidR="009E024C" w:rsidRPr="009E024C" w:rsidRDefault="00A33884" w:rsidP="009E024C">
            <w:pPr>
              <w:spacing w:before="120" w:after="0" w:line="240" w:lineRule="auto"/>
              <w:ind w:left="-108" w:right="-108"/>
              <w:jc w:val="center"/>
              <w:rPr>
                <w:rFonts w:ascii="Times New Roman" w:eastAsia="Times New Roman" w:hAnsi="Times New Roman" w:cs="Times New Roman"/>
                <w:lang w:eastAsia="hr-HR"/>
              </w:rPr>
            </w:pPr>
            <w:r>
              <w:rPr>
                <w:rFonts w:ascii="Times New Roman" w:eastAsia="Times New Roman" w:hAnsi="Times New Roman" w:cs="Times New Roman"/>
                <w:lang w:eastAsia="hr-HR"/>
              </w:rPr>
              <w:t>227.140.408</w:t>
            </w:r>
          </w:p>
        </w:tc>
        <w:tc>
          <w:tcPr>
            <w:tcW w:w="1418" w:type="dxa"/>
            <w:shd w:val="clear" w:color="auto" w:fill="auto"/>
          </w:tcPr>
          <w:p w:rsidR="009E024C" w:rsidRPr="009E024C" w:rsidRDefault="00A33884" w:rsidP="009E024C">
            <w:pPr>
              <w:spacing w:before="120" w:after="0" w:line="240" w:lineRule="auto"/>
              <w:ind w:right="-108"/>
              <w:rPr>
                <w:rFonts w:ascii="Times New Roman" w:eastAsia="Times New Roman" w:hAnsi="Times New Roman" w:cs="Times New Roman"/>
                <w:lang w:eastAsia="hr-HR"/>
              </w:rPr>
            </w:pPr>
            <w:r>
              <w:rPr>
                <w:rFonts w:ascii="Times New Roman" w:eastAsia="Times New Roman" w:hAnsi="Times New Roman" w:cs="Times New Roman"/>
                <w:lang w:eastAsia="hr-HR"/>
              </w:rPr>
              <w:t>250.525.725</w:t>
            </w:r>
          </w:p>
        </w:tc>
        <w:tc>
          <w:tcPr>
            <w:tcW w:w="1275" w:type="dxa"/>
            <w:shd w:val="clear" w:color="auto" w:fill="auto"/>
          </w:tcPr>
          <w:p w:rsidR="009E024C" w:rsidRPr="009E024C" w:rsidRDefault="00A33884" w:rsidP="009E024C">
            <w:pPr>
              <w:spacing w:before="120" w:after="0" w:line="240" w:lineRule="auto"/>
              <w:ind w:right="-123"/>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270.187.874</w:t>
            </w:r>
          </w:p>
        </w:tc>
        <w:tc>
          <w:tcPr>
            <w:tcW w:w="1276" w:type="dxa"/>
            <w:shd w:val="clear" w:color="auto" w:fill="auto"/>
          </w:tcPr>
          <w:p w:rsidR="009E024C" w:rsidRPr="009E024C" w:rsidRDefault="00A33884" w:rsidP="009E024C">
            <w:pPr>
              <w:spacing w:before="120" w:after="0" w:line="240" w:lineRule="auto"/>
              <w:ind w:left="-108"/>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291.701.087</w:t>
            </w:r>
          </w:p>
        </w:tc>
        <w:tc>
          <w:tcPr>
            <w:tcW w:w="1134" w:type="dxa"/>
            <w:shd w:val="clear" w:color="auto" w:fill="auto"/>
          </w:tcPr>
          <w:p w:rsidR="009E024C" w:rsidRPr="009E024C" w:rsidRDefault="00A33884" w:rsidP="00A33884">
            <w:pPr>
              <w:spacing w:before="120" w:after="0" w:line="240" w:lineRule="auto"/>
              <w:ind w:right="176"/>
              <w:jc w:val="right"/>
              <w:rPr>
                <w:rFonts w:ascii="Times New Roman" w:eastAsia="Times New Roman" w:hAnsi="Times New Roman" w:cs="Times New Roman"/>
                <w:lang w:eastAsia="hr-HR"/>
              </w:rPr>
            </w:pPr>
            <w:r>
              <w:rPr>
                <w:rFonts w:ascii="Times New Roman" w:eastAsia="Times New Roman" w:hAnsi="Times New Roman" w:cs="Times New Roman"/>
                <w:lang w:eastAsia="hr-HR"/>
              </w:rPr>
              <w:t>110,30</w:t>
            </w:r>
          </w:p>
        </w:tc>
      </w:tr>
    </w:tbl>
    <w:p w:rsidR="009E024C" w:rsidRPr="009E024C" w:rsidRDefault="009E024C" w:rsidP="009E024C">
      <w:pPr>
        <w:spacing w:after="0" w:line="240" w:lineRule="auto"/>
        <w:ind w:left="709" w:right="-5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ab/>
      </w:r>
    </w:p>
    <w:p w:rsidR="003F7E39" w:rsidRDefault="003F7E39" w:rsidP="003F7E39">
      <w:pPr>
        <w:spacing w:after="0" w:line="240" w:lineRule="auto"/>
        <w:ind w:right="-51"/>
        <w:jc w:val="both"/>
        <w:rPr>
          <w:rFonts w:ascii="Times New Roman" w:eastAsia="Times New Roman" w:hAnsi="Times New Roman" w:cs="Times New Roman"/>
          <w:b/>
          <w:sz w:val="24"/>
          <w:szCs w:val="24"/>
          <w:lang w:eastAsia="hr-HR"/>
        </w:rPr>
      </w:pPr>
    </w:p>
    <w:p w:rsidR="003F7E39" w:rsidRPr="009E024C" w:rsidRDefault="003F7E39" w:rsidP="003F7E39">
      <w:pPr>
        <w:spacing w:after="0" w:line="240" w:lineRule="auto"/>
        <w:ind w:right="-5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b/>
          <w:sz w:val="24"/>
          <w:szCs w:val="24"/>
          <w:lang w:eastAsia="hr-HR"/>
        </w:rPr>
        <w:t xml:space="preserve">Prikaz i obrazloženje izračuna financijskih sredstava </w:t>
      </w:r>
    </w:p>
    <w:p w:rsidR="003F7E39" w:rsidRDefault="003F7E39" w:rsidP="00A75F6F">
      <w:pPr>
        <w:spacing w:after="0" w:line="240" w:lineRule="auto"/>
        <w:ind w:right="-51" w:firstLine="708"/>
        <w:jc w:val="both"/>
        <w:rPr>
          <w:rFonts w:ascii="Times New Roman" w:eastAsia="Times New Roman" w:hAnsi="Times New Roman" w:cs="Times New Roman"/>
          <w:sz w:val="24"/>
          <w:szCs w:val="24"/>
          <w:lang w:eastAsia="hr-HR"/>
        </w:rPr>
      </w:pPr>
    </w:p>
    <w:p w:rsidR="009E024C" w:rsidRDefault="003F7E39" w:rsidP="003F7E39">
      <w:pPr>
        <w:spacing w:after="0" w:line="240" w:lineRule="auto"/>
        <w:ind w:right="-51"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 ovoj aktivnosti planirana su sredstva za nesmetano provođenje svih aktivnosti vezanih uz pružanje zdravstvene zaštite pacijentima. </w:t>
      </w:r>
    </w:p>
    <w:p w:rsidR="003F7E39" w:rsidRDefault="003F7E39" w:rsidP="003F7E39">
      <w:pPr>
        <w:spacing w:before="120" w:after="0" w:line="240" w:lineRule="auto"/>
        <w:ind w:right="-51"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okviru ukupnih rashoda i izdataka najveći dio se odnosi na rashode za zaposlenike. Rashodi za bruto plaću i doprinose procijenjeni su temeljem prosječnog broja zaposlenika u prvoj polovici 2023. godine uz </w:t>
      </w:r>
      <w:r w:rsidR="009B578B">
        <w:rPr>
          <w:rFonts w:ascii="Times New Roman" w:eastAsia="Times New Roman" w:hAnsi="Times New Roman" w:cs="Times New Roman"/>
          <w:sz w:val="24"/>
          <w:szCs w:val="24"/>
          <w:lang w:eastAsia="hr-HR"/>
        </w:rPr>
        <w:t xml:space="preserve">naknade troškova zaposlenima </w:t>
      </w:r>
      <w:r>
        <w:rPr>
          <w:rFonts w:ascii="Times New Roman" w:eastAsia="Times New Roman" w:hAnsi="Times New Roman" w:cs="Times New Roman"/>
          <w:sz w:val="24"/>
          <w:szCs w:val="24"/>
          <w:lang w:eastAsia="hr-HR"/>
        </w:rPr>
        <w:t>koji uključuju</w:t>
      </w:r>
      <w:r w:rsidR="009B578B">
        <w:rPr>
          <w:rFonts w:ascii="Times New Roman" w:eastAsia="Times New Roman" w:hAnsi="Times New Roman" w:cs="Times New Roman"/>
          <w:sz w:val="24"/>
          <w:szCs w:val="24"/>
          <w:lang w:eastAsia="hr-HR"/>
        </w:rPr>
        <w:t xml:space="preserve"> naknade za prijevoz,</w:t>
      </w:r>
      <w:r>
        <w:rPr>
          <w:rFonts w:ascii="Times New Roman" w:eastAsia="Times New Roman" w:hAnsi="Times New Roman" w:cs="Times New Roman"/>
          <w:sz w:val="24"/>
          <w:szCs w:val="24"/>
          <w:lang w:eastAsia="hr-HR"/>
        </w:rPr>
        <w:t xml:space="preserve"> jubilarne nagrade, otpremnine, dar za djecu, naknade za rođenje djeteta, pomoći za bolovanje duže od 90 dana, te ostale pomoći. </w:t>
      </w:r>
    </w:p>
    <w:p w:rsidR="009B578B" w:rsidRPr="009E024C" w:rsidRDefault="009B578B" w:rsidP="003F7E39">
      <w:pPr>
        <w:spacing w:before="120" w:after="0" w:line="240" w:lineRule="auto"/>
        <w:ind w:right="-51" w:firstLine="709"/>
        <w:jc w:val="both"/>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lastRenderedPageBreak/>
        <w:t>U okviru materijalnih rashoda najveći udio sredstava planiran je za lijekove i potrošni medicinski materijal. Nadalje, na ovoj aktivnosti planirana su sredstva za krv i krvne pripravke, živežne namirnice, medicinske plinove, materijal za održavanje čistoće, uredski materijal, ostale razne materijale, utrošenu energiju, ugrađene rezervne dijelove, poštanske izdatke, ostale izdatke, rashode za usluge i sve ostale nespomenute rashode.</w:t>
      </w:r>
    </w:p>
    <w:p w:rsidR="009E024C" w:rsidRPr="009E024C" w:rsidRDefault="009E024C" w:rsidP="003F7E39">
      <w:pPr>
        <w:spacing w:before="120" w:after="0" w:line="240" w:lineRule="auto"/>
        <w:ind w:right="-51" w:firstLine="709"/>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b/>
          <w:sz w:val="24"/>
          <w:szCs w:val="24"/>
          <w:lang w:eastAsia="hr-HR"/>
        </w:rPr>
        <w:t>Na izvoru financiranja 31</w:t>
      </w:r>
      <w:r w:rsidRPr="009E024C">
        <w:rPr>
          <w:rFonts w:ascii="Times New Roman" w:eastAsia="Times New Roman" w:hAnsi="Times New Roman" w:cs="Times New Roman"/>
          <w:sz w:val="24"/>
          <w:szCs w:val="24"/>
          <w:lang w:eastAsia="hr-HR"/>
        </w:rPr>
        <w:t xml:space="preserve"> </w:t>
      </w:r>
      <w:r w:rsidRPr="00CB22C6">
        <w:rPr>
          <w:rFonts w:ascii="Times New Roman" w:eastAsia="Times New Roman" w:hAnsi="Times New Roman" w:cs="Times New Roman"/>
          <w:b/>
          <w:sz w:val="24"/>
          <w:szCs w:val="24"/>
          <w:lang w:eastAsia="hr-HR"/>
        </w:rPr>
        <w:t>Vlastiti prihodi</w:t>
      </w:r>
      <w:r w:rsidRPr="009E024C">
        <w:rPr>
          <w:rFonts w:ascii="Times New Roman" w:eastAsia="Times New Roman" w:hAnsi="Times New Roman" w:cs="Times New Roman"/>
          <w:sz w:val="24"/>
          <w:szCs w:val="24"/>
          <w:lang w:eastAsia="hr-HR"/>
        </w:rPr>
        <w:t xml:space="preserve"> planirano je 333.493 eura. Na materijalne rashode odnosi se 332.962 eura, te na naknade troškova zaposlenima 69.282 eura. Sredstva za 2025. i 2026. godinu planirana su u istom iznosu od 333.493 eura.</w:t>
      </w:r>
    </w:p>
    <w:p w:rsidR="009E024C" w:rsidRPr="009E024C" w:rsidRDefault="00BD5266" w:rsidP="00A75F6F">
      <w:pPr>
        <w:spacing w:before="120" w:after="0" w:line="240" w:lineRule="auto"/>
        <w:ind w:right="-51"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Planski iznos od 249.411</w:t>
      </w:r>
      <w:r w:rsidR="009E024C" w:rsidRPr="009E024C">
        <w:rPr>
          <w:rFonts w:ascii="Times New Roman" w:eastAsia="Times New Roman" w:hAnsi="Times New Roman" w:cs="Times New Roman"/>
          <w:sz w:val="24"/>
          <w:szCs w:val="24"/>
          <w:lang w:eastAsia="hr-HR"/>
        </w:rPr>
        <w:t>.3</w:t>
      </w:r>
      <w:r>
        <w:rPr>
          <w:rFonts w:ascii="Times New Roman" w:eastAsia="Times New Roman" w:hAnsi="Times New Roman" w:cs="Times New Roman"/>
          <w:sz w:val="24"/>
          <w:szCs w:val="24"/>
          <w:lang w:eastAsia="hr-HR"/>
        </w:rPr>
        <w:t>54</w:t>
      </w:r>
      <w:r w:rsidR="009E024C" w:rsidRPr="009E024C">
        <w:rPr>
          <w:rFonts w:ascii="Times New Roman" w:eastAsia="Times New Roman" w:hAnsi="Times New Roman" w:cs="Times New Roman"/>
          <w:sz w:val="24"/>
          <w:szCs w:val="24"/>
          <w:lang w:eastAsia="hr-HR"/>
        </w:rPr>
        <w:t xml:space="preserve"> eura za </w:t>
      </w:r>
      <w:r w:rsidR="009E024C" w:rsidRPr="009E024C">
        <w:rPr>
          <w:rFonts w:ascii="Times New Roman" w:eastAsia="Times New Roman" w:hAnsi="Times New Roman" w:cs="Times New Roman"/>
          <w:b/>
          <w:sz w:val="24"/>
          <w:szCs w:val="24"/>
          <w:lang w:eastAsia="hr-HR"/>
        </w:rPr>
        <w:t>izvor financiranja 43</w:t>
      </w:r>
      <w:r w:rsidR="009E024C" w:rsidRPr="009E024C">
        <w:rPr>
          <w:rFonts w:ascii="Times New Roman" w:eastAsia="Times New Roman" w:hAnsi="Times New Roman" w:cs="Times New Roman"/>
          <w:sz w:val="24"/>
          <w:szCs w:val="24"/>
          <w:lang w:eastAsia="hr-HR"/>
        </w:rPr>
        <w:t xml:space="preserve"> </w:t>
      </w:r>
      <w:r w:rsidR="009E024C" w:rsidRPr="00CB22C6">
        <w:rPr>
          <w:rFonts w:ascii="Times New Roman" w:eastAsia="Times New Roman" w:hAnsi="Times New Roman" w:cs="Times New Roman"/>
          <w:b/>
          <w:sz w:val="24"/>
          <w:szCs w:val="24"/>
          <w:lang w:eastAsia="hr-HR"/>
        </w:rPr>
        <w:t>Ostali prihodi</w:t>
      </w:r>
      <w:r w:rsidR="009E024C" w:rsidRPr="009E024C">
        <w:rPr>
          <w:rFonts w:ascii="Times New Roman" w:eastAsia="Times New Roman" w:hAnsi="Times New Roman" w:cs="Times New Roman"/>
          <w:sz w:val="24"/>
          <w:szCs w:val="24"/>
          <w:lang w:eastAsia="hr-HR"/>
        </w:rPr>
        <w:t xml:space="preserve"> za posebne namjene utvrđen je od strane Hrvatskog zavoda za zdravstveno osiguranje, te osim limita uključuje i prihod od participacije, dopunskog osiguranja drugih osiguravajućih kuća te naplate šteta. Planirani iznos namijenili smo utrošiti za</w:t>
      </w:r>
      <w:r w:rsidR="00FC45D9">
        <w:rPr>
          <w:rFonts w:ascii="Times New Roman" w:eastAsia="Times New Roman" w:hAnsi="Times New Roman" w:cs="Times New Roman"/>
          <w:sz w:val="24"/>
          <w:szCs w:val="24"/>
          <w:lang w:eastAsia="hr-HR"/>
        </w:rPr>
        <w:t xml:space="preserve"> slijedeće rashode</w:t>
      </w:r>
      <w:r w:rsidR="009E024C" w:rsidRPr="009E024C">
        <w:rPr>
          <w:rFonts w:ascii="Times New Roman" w:eastAsia="Times New Roman" w:hAnsi="Times New Roman" w:cs="Times New Roman"/>
          <w:sz w:val="24"/>
          <w:szCs w:val="24"/>
          <w:lang w:eastAsia="hr-HR"/>
        </w:rPr>
        <w:t xml:space="preserve">: </w:t>
      </w:r>
    </w:p>
    <w:p w:rsidR="009E024C" w:rsidRPr="009E024C" w:rsidRDefault="00FC45D9" w:rsidP="00165767">
      <w:pPr>
        <w:spacing w:before="120" w:after="0" w:line="240" w:lineRule="auto"/>
        <w:ind w:right="-51"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Rashodi</w:t>
      </w:r>
      <w:r w:rsidR="009E024C" w:rsidRPr="009E024C">
        <w:rPr>
          <w:rFonts w:ascii="Times New Roman" w:eastAsia="Times New Roman" w:hAnsi="Times New Roman" w:cs="Times New Roman"/>
          <w:sz w:val="24"/>
          <w:szCs w:val="24"/>
          <w:lang w:eastAsia="hr-HR"/>
        </w:rPr>
        <w:t xml:space="preserve"> za zaposlene u iznosu od 1</w:t>
      </w:r>
      <w:r w:rsidR="00E06B91">
        <w:rPr>
          <w:rFonts w:ascii="Times New Roman" w:eastAsia="Times New Roman" w:hAnsi="Times New Roman" w:cs="Times New Roman"/>
          <w:sz w:val="24"/>
          <w:szCs w:val="24"/>
          <w:lang w:eastAsia="hr-HR"/>
        </w:rPr>
        <w:t>31</w:t>
      </w:r>
      <w:r w:rsidR="009E024C" w:rsidRPr="009E024C">
        <w:rPr>
          <w:rFonts w:ascii="Times New Roman" w:eastAsia="Times New Roman" w:hAnsi="Times New Roman" w:cs="Times New Roman"/>
          <w:sz w:val="24"/>
          <w:szCs w:val="24"/>
          <w:lang w:eastAsia="hr-HR"/>
        </w:rPr>
        <w:t>.4</w:t>
      </w:r>
      <w:r w:rsidR="00E06B91">
        <w:rPr>
          <w:rFonts w:ascii="Times New Roman" w:eastAsia="Times New Roman" w:hAnsi="Times New Roman" w:cs="Times New Roman"/>
          <w:sz w:val="24"/>
          <w:szCs w:val="24"/>
          <w:lang w:eastAsia="hr-HR"/>
        </w:rPr>
        <w:t>19</w:t>
      </w:r>
      <w:r w:rsidR="009E024C" w:rsidRPr="009E024C">
        <w:rPr>
          <w:rFonts w:ascii="Times New Roman" w:eastAsia="Times New Roman" w:hAnsi="Times New Roman" w:cs="Times New Roman"/>
          <w:sz w:val="24"/>
          <w:szCs w:val="24"/>
          <w:lang w:eastAsia="hr-HR"/>
        </w:rPr>
        <w:t>.</w:t>
      </w:r>
      <w:r w:rsidR="00E06B91">
        <w:rPr>
          <w:rFonts w:ascii="Times New Roman" w:eastAsia="Times New Roman" w:hAnsi="Times New Roman" w:cs="Times New Roman"/>
          <w:sz w:val="24"/>
          <w:szCs w:val="24"/>
          <w:lang w:eastAsia="hr-HR"/>
        </w:rPr>
        <w:t>765</w:t>
      </w:r>
      <w:r w:rsidR="009E024C" w:rsidRPr="009E024C">
        <w:rPr>
          <w:rFonts w:ascii="Times New Roman" w:eastAsia="Times New Roman" w:hAnsi="Times New Roman" w:cs="Times New Roman"/>
          <w:sz w:val="24"/>
          <w:szCs w:val="24"/>
          <w:lang w:eastAsia="hr-HR"/>
        </w:rPr>
        <w:t xml:space="preserve"> eura od čega su plaće za redovan rad </w:t>
      </w:r>
      <w:r w:rsidR="00E06B91">
        <w:rPr>
          <w:rFonts w:ascii="Times New Roman" w:eastAsia="Times New Roman" w:hAnsi="Times New Roman" w:cs="Times New Roman"/>
          <w:sz w:val="24"/>
          <w:szCs w:val="24"/>
          <w:lang w:eastAsia="hr-HR"/>
        </w:rPr>
        <w:t>112.739.771</w:t>
      </w:r>
      <w:r w:rsidR="009E024C" w:rsidRPr="009E024C">
        <w:rPr>
          <w:rFonts w:ascii="Times New Roman" w:eastAsia="Times New Roman" w:hAnsi="Times New Roman" w:cs="Times New Roman"/>
          <w:sz w:val="24"/>
          <w:szCs w:val="24"/>
          <w:lang w:eastAsia="hr-HR"/>
        </w:rPr>
        <w:t xml:space="preserve"> eur</w:t>
      </w:r>
      <w:r w:rsidR="00E06B91">
        <w:rPr>
          <w:rFonts w:ascii="Times New Roman" w:eastAsia="Times New Roman" w:hAnsi="Times New Roman" w:cs="Times New Roman"/>
          <w:sz w:val="24"/>
          <w:szCs w:val="24"/>
          <w:lang w:eastAsia="hr-HR"/>
        </w:rPr>
        <w:t>o</w:t>
      </w:r>
      <w:r w:rsidR="009E024C" w:rsidRPr="009E024C">
        <w:rPr>
          <w:rFonts w:ascii="Times New Roman" w:eastAsia="Times New Roman" w:hAnsi="Times New Roman" w:cs="Times New Roman"/>
          <w:sz w:val="24"/>
          <w:szCs w:val="24"/>
          <w:lang w:eastAsia="hr-HR"/>
        </w:rPr>
        <w:t xml:space="preserve"> (3.960 zaposlenih - uključivo zamjene, pripravnike i doktore na specijalizaciji x prosječna mjesečna bruto plaća po zaposlenom uključivo dodatke na plaću državnim službenicima i namještenicima koji su raspoređeni na radna mjesta za koje je utvrđen koeficijent složenosti poslova do 1,867 u iznosu od 2.095,96 eura = 8.300.002 eura x 12 mjeseci = 99.600.0</w:t>
      </w:r>
      <w:r w:rsidR="00E06B91">
        <w:rPr>
          <w:rFonts w:ascii="Times New Roman" w:eastAsia="Times New Roman" w:hAnsi="Times New Roman" w:cs="Times New Roman"/>
          <w:sz w:val="24"/>
          <w:szCs w:val="24"/>
          <w:lang w:eastAsia="hr-HR"/>
        </w:rPr>
        <w:t>19</w:t>
      </w:r>
      <w:r w:rsidR="009E024C" w:rsidRPr="009E024C">
        <w:rPr>
          <w:rFonts w:ascii="Times New Roman" w:eastAsia="Times New Roman" w:hAnsi="Times New Roman" w:cs="Times New Roman"/>
          <w:sz w:val="24"/>
          <w:szCs w:val="24"/>
          <w:lang w:eastAsia="hr-HR"/>
        </w:rPr>
        <w:t xml:space="preserve"> eura</w:t>
      </w:r>
      <w:r w:rsidR="00E06B91">
        <w:rPr>
          <w:rFonts w:ascii="Times New Roman" w:eastAsia="Times New Roman" w:hAnsi="Times New Roman" w:cs="Times New Roman"/>
          <w:sz w:val="24"/>
          <w:szCs w:val="24"/>
          <w:lang w:eastAsia="hr-HR"/>
        </w:rPr>
        <w:t xml:space="preserve"> + 13.139.752 eura na razini godine temeljem Dodatka III Kolektivnom ugovoru za državne službenike i namještenike</w:t>
      </w:r>
      <w:r w:rsidR="009E024C" w:rsidRPr="009E024C">
        <w:rPr>
          <w:rFonts w:ascii="Times New Roman" w:eastAsia="Times New Roman" w:hAnsi="Times New Roman" w:cs="Times New Roman"/>
          <w:sz w:val="24"/>
          <w:szCs w:val="24"/>
          <w:lang w:eastAsia="hr-HR"/>
        </w:rPr>
        <w:t xml:space="preserve">), a odnose se prvenstveno na isplatu plaća vezano uz liječenje bolesnika. U razdoblju </w:t>
      </w:r>
      <w:r w:rsidR="009E024C" w:rsidRPr="009E024C">
        <w:rPr>
          <w:rFonts w:ascii="Times New Roman" w:eastAsia="Times New Roman" w:hAnsi="Times New Roman" w:cs="Times New Roman"/>
          <w:color w:val="000000"/>
          <w:sz w:val="24"/>
          <w:szCs w:val="24"/>
          <w:lang w:eastAsia="hr-HR"/>
        </w:rPr>
        <w:t>siječanj-prosinac 2022. godine zbrinuto je 47.202 bolesnika u stacionarnom liječenju gdje su proveli 286.364 dana. Ambulantno, dijagnostički i kroz dnevne bolnice obrađeno je ukupno 1.059.735 bolesnika.</w:t>
      </w:r>
      <w:r w:rsidR="009E024C" w:rsidRPr="009E024C">
        <w:rPr>
          <w:rFonts w:ascii="Times New Roman" w:eastAsia="Times New Roman" w:hAnsi="Times New Roman" w:cs="Times New Roman"/>
          <w:sz w:val="24"/>
          <w:szCs w:val="24"/>
          <w:lang w:eastAsia="hr-HR"/>
        </w:rPr>
        <w:t xml:space="preserve"> </w:t>
      </w:r>
    </w:p>
    <w:p w:rsidR="009E024C" w:rsidRPr="009E024C" w:rsidRDefault="00FC45D9" w:rsidP="00A75F6F">
      <w:pPr>
        <w:spacing w:before="120" w:after="0" w:line="240" w:lineRule="auto"/>
        <w:ind w:right="-51"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9E024C" w:rsidRPr="009E024C">
        <w:rPr>
          <w:rFonts w:ascii="Times New Roman" w:eastAsia="Times New Roman" w:hAnsi="Times New Roman" w:cs="Times New Roman"/>
          <w:sz w:val="24"/>
          <w:szCs w:val="24"/>
          <w:lang w:eastAsia="hr-HR"/>
        </w:rPr>
        <w:t xml:space="preserve">Materijalni rashodi planirani su u iznosu od </w:t>
      </w:r>
      <w:r w:rsidR="00F66402">
        <w:rPr>
          <w:rFonts w:ascii="Times New Roman" w:eastAsia="Times New Roman" w:hAnsi="Times New Roman" w:cs="Times New Roman"/>
          <w:sz w:val="24"/>
          <w:szCs w:val="24"/>
          <w:lang w:eastAsia="hr-HR"/>
        </w:rPr>
        <w:t>116.515.988</w:t>
      </w:r>
      <w:r w:rsidR="009E024C" w:rsidRPr="009E024C">
        <w:rPr>
          <w:rFonts w:ascii="Times New Roman" w:eastAsia="Times New Roman" w:hAnsi="Times New Roman" w:cs="Times New Roman"/>
          <w:sz w:val="24"/>
          <w:szCs w:val="24"/>
          <w:lang w:eastAsia="hr-HR"/>
        </w:rPr>
        <w:t xml:space="preserve"> eura, od čega se na rashode za materijal i energiju odnosi 99.142.678 eura. Nabavljeni materijal se koristi za liječenje bolesnika pri čemu se najveća stavka od 93.160.571 euro odnosi na nabavku posebno skupih lijekova, lijekova, zavojnog i sanitetskog materijala, ugradbenog materijala i sl. </w:t>
      </w:r>
    </w:p>
    <w:p w:rsidR="009E024C" w:rsidRPr="009E024C" w:rsidRDefault="006A55B9" w:rsidP="00A75F6F">
      <w:pPr>
        <w:spacing w:before="120" w:after="0" w:line="240" w:lineRule="auto"/>
        <w:ind w:right="-51"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9E024C" w:rsidRPr="009E024C">
        <w:rPr>
          <w:rFonts w:ascii="Times New Roman" w:eastAsia="Times New Roman" w:hAnsi="Times New Roman" w:cs="Times New Roman"/>
          <w:sz w:val="24"/>
          <w:szCs w:val="24"/>
          <w:lang w:eastAsia="hr-HR"/>
        </w:rPr>
        <w:t xml:space="preserve">Rashodi za usluge planirani su u iznosu od 12.586.000 eura od čega se najveća stavka u iznosu od 6.160.300 eura odnosi na usluge tekućeg i investicijskog održavanja. </w:t>
      </w:r>
    </w:p>
    <w:p w:rsidR="009E024C" w:rsidRPr="009E024C" w:rsidRDefault="006A55B9" w:rsidP="00A75F6F">
      <w:pPr>
        <w:spacing w:before="120" w:after="0" w:line="240" w:lineRule="auto"/>
        <w:ind w:right="-51"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9E024C" w:rsidRPr="009E024C">
        <w:rPr>
          <w:rFonts w:ascii="Times New Roman" w:eastAsia="Times New Roman" w:hAnsi="Times New Roman" w:cs="Times New Roman"/>
          <w:sz w:val="24"/>
          <w:szCs w:val="24"/>
          <w:lang w:eastAsia="hr-HR"/>
        </w:rPr>
        <w:t xml:space="preserve">Ostali nespomenuti rashodi poslovanja planirani su u iznosu od 1.572.973 eura, pri čemu se najveći dio odnosi na troškove sudskih postupaka.  </w:t>
      </w:r>
    </w:p>
    <w:p w:rsidR="009E024C" w:rsidRPr="009E024C" w:rsidRDefault="006A55B9" w:rsidP="00A75F6F">
      <w:pPr>
        <w:spacing w:before="120" w:after="0" w:line="240" w:lineRule="auto"/>
        <w:ind w:right="-51"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9E024C" w:rsidRPr="009E024C">
        <w:rPr>
          <w:rFonts w:ascii="Times New Roman" w:eastAsia="Times New Roman" w:hAnsi="Times New Roman" w:cs="Times New Roman"/>
          <w:sz w:val="24"/>
          <w:szCs w:val="24"/>
          <w:lang w:eastAsia="hr-HR"/>
        </w:rPr>
        <w:t>Financijski rashodi planirani su u iznosu od 530.601 euro, a najvećim dijelom se odnose na zatezne kamate po sudskim presudama temeljem tužbi djelatnika KBC-a za dodatke na prekovremeni rad.</w:t>
      </w:r>
    </w:p>
    <w:p w:rsidR="009E024C" w:rsidRPr="009E024C" w:rsidRDefault="006A55B9" w:rsidP="00CB22C6">
      <w:pPr>
        <w:spacing w:before="120" w:after="0" w:line="240" w:lineRule="auto"/>
        <w:ind w:right="-51"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9E024C" w:rsidRPr="009E024C">
        <w:rPr>
          <w:rFonts w:ascii="Times New Roman" w:eastAsia="Times New Roman" w:hAnsi="Times New Roman" w:cs="Times New Roman"/>
          <w:sz w:val="24"/>
          <w:szCs w:val="24"/>
          <w:lang w:eastAsia="hr-HR"/>
        </w:rPr>
        <w:t>Ostali rashodi planirani su u iznosu od 945.000 eura, a planirani iznos se temelji na procijenjenim iznosima na ime naknada šteta zbog propusta u liječenju temeljem sudskih presuda.</w:t>
      </w:r>
    </w:p>
    <w:p w:rsidR="009E024C" w:rsidRPr="009E024C" w:rsidRDefault="009E024C" w:rsidP="00A75F6F">
      <w:pPr>
        <w:spacing w:before="120" w:after="0" w:line="240" w:lineRule="auto"/>
        <w:ind w:right="-51" w:firstLine="7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Za 2025. godinu projekcija plana za izvor financiranja 43 utvrđena je u iznosu od  2</w:t>
      </w:r>
      <w:r w:rsidR="00E06B91">
        <w:rPr>
          <w:rFonts w:ascii="Times New Roman" w:eastAsia="Times New Roman" w:hAnsi="Times New Roman" w:cs="Times New Roman"/>
          <w:sz w:val="24"/>
          <w:szCs w:val="24"/>
          <w:lang w:eastAsia="hr-HR"/>
        </w:rPr>
        <w:t>69</w:t>
      </w:r>
      <w:r w:rsidRPr="009E024C">
        <w:rPr>
          <w:rFonts w:ascii="Times New Roman" w:eastAsia="Times New Roman" w:hAnsi="Times New Roman" w:cs="Times New Roman"/>
          <w:sz w:val="24"/>
          <w:szCs w:val="24"/>
          <w:lang w:eastAsia="hr-HR"/>
        </w:rPr>
        <w:t>.</w:t>
      </w:r>
      <w:r w:rsidR="008C1FCE">
        <w:rPr>
          <w:rFonts w:ascii="Times New Roman" w:eastAsia="Times New Roman" w:hAnsi="Times New Roman" w:cs="Times New Roman"/>
          <w:sz w:val="24"/>
          <w:szCs w:val="24"/>
          <w:lang w:eastAsia="hr-HR"/>
        </w:rPr>
        <w:t>073.533</w:t>
      </w:r>
      <w:r w:rsidR="00165767">
        <w:rPr>
          <w:rFonts w:ascii="Times New Roman" w:eastAsia="Times New Roman" w:hAnsi="Times New Roman" w:cs="Times New Roman"/>
          <w:sz w:val="24"/>
          <w:szCs w:val="24"/>
          <w:lang w:eastAsia="hr-HR"/>
        </w:rPr>
        <w:t xml:space="preserve"> eura. Rashodi</w:t>
      </w:r>
      <w:r w:rsidRPr="009E024C">
        <w:rPr>
          <w:rFonts w:ascii="Times New Roman" w:eastAsia="Times New Roman" w:hAnsi="Times New Roman" w:cs="Times New Roman"/>
          <w:sz w:val="24"/>
          <w:szCs w:val="24"/>
          <w:lang w:eastAsia="hr-HR"/>
        </w:rPr>
        <w:t xml:space="preserve"> za zaposlene planira</w:t>
      </w:r>
      <w:r w:rsidR="00165767">
        <w:rPr>
          <w:rFonts w:ascii="Times New Roman" w:eastAsia="Times New Roman" w:hAnsi="Times New Roman" w:cs="Times New Roman"/>
          <w:sz w:val="24"/>
          <w:szCs w:val="24"/>
          <w:lang w:eastAsia="hr-HR"/>
        </w:rPr>
        <w:t>ni su</w:t>
      </w:r>
      <w:r w:rsidRPr="009E024C">
        <w:rPr>
          <w:rFonts w:ascii="Times New Roman" w:eastAsia="Times New Roman" w:hAnsi="Times New Roman" w:cs="Times New Roman"/>
          <w:sz w:val="24"/>
          <w:szCs w:val="24"/>
          <w:lang w:eastAsia="hr-HR"/>
        </w:rPr>
        <w:t xml:space="preserve"> u iznosu od 1</w:t>
      </w:r>
      <w:r w:rsidR="008C1FCE">
        <w:rPr>
          <w:rFonts w:ascii="Times New Roman" w:eastAsia="Times New Roman" w:hAnsi="Times New Roman" w:cs="Times New Roman"/>
          <w:sz w:val="24"/>
          <w:szCs w:val="24"/>
          <w:lang w:eastAsia="hr-HR"/>
        </w:rPr>
        <w:t>33</w:t>
      </w:r>
      <w:r w:rsidRPr="009E024C">
        <w:rPr>
          <w:rFonts w:ascii="Times New Roman" w:eastAsia="Times New Roman" w:hAnsi="Times New Roman" w:cs="Times New Roman"/>
          <w:sz w:val="24"/>
          <w:szCs w:val="24"/>
          <w:lang w:eastAsia="hr-HR"/>
        </w:rPr>
        <w:t>.</w:t>
      </w:r>
      <w:r w:rsidR="008C1FCE">
        <w:rPr>
          <w:rFonts w:ascii="Times New Roman" w:eastAsia="Times New Roman" w:hAnsi="Times New Roman" w:cs="Times New Roman"/>
          <w:sz w:val="24"/>
          <w:szCs w:val="24"/>
          <w:lang w:eastAsia="hr-HR"/>
        </w:rPr>
        <w:t>682</w:t>
      </w:r>
      <w:r w:rsidRPr="009E024C">
        <w:rPr>
          <w:rFonts w:ascii="Times New Roman" w:eastAsia="Times New Roman" w:hAnsi="Times New Roman" w:cs="Times New Roman"/>
          <w:sz w:val="24"/>
          <w:szCs w:val="24"/>
          <w:lang w:eastAsia="hr-HR"/>
        </w:rPr>
        <w:t>.1</w:t>
      </w:r>
      <w:r w:rsidR="008C1FCE">
        <w:rPr>
          <w:rFonts w:ascii="Times New Roman" w:eastAsia="Times New Roman" w:hAnsi="Times New Roman" w:cs="Times New Roman"/>
          <w:sz w:val="24"/>
          <w:szCs w:val="24"/>
          <w:lang w:eastAsia="hr-HR"/>
        </w:rPr>
        <w:t>01</w:t>
      </w:r>
      <w:r w:rsidRPr="009E024C">
        <w:rPr>
          <w:rFonts w:ascii="Times New Roman" w:eastAsia="Times New Roman" w:hAnsi="Times New Roman" w:cs="Times New Roman"/>
          <w:sz w:val="24"/>
          <w:szCs w:val="24"/>
          <w:lang w:eastAsia="hr-HR"/>
        </w:rPr>
        <w:t xml:space="preserve"> eur</w:t>
      </w:r>
      <w:r w:rsidR="008C1FCE">
        <w:rPr>
          <w:rFonts w:ascii="Times New Roman" w:eastAsia="Times New Roman" w:hAnsi="Times New Roman" w:cs="Times New Roman"/>
          <w:sz w:val="24"/>
          <w:szCs w:val="24"/>
          <w:lang w:eastAsia="hr-HR"/>
        </w:rPr>
        <w:t>o</w:t>
      </w:r>
      <w:r w:rsidRPr="009E024C">
        <w:rPr>
          <w:rFonts w:ascii="Times New Roman" w:eastAsia="Times New Roman" w:hAnsi="Times New Roman" w:cs="Times New Roman"/>
          <w:sz w:val="24"/>
          <w:szCs w:val="24"/>
          <w:lang w:eastAsia="hr-HR"/>
        </w:rPr>
        <w:t>, materijaln</w:t>
      </w:r>
      <w:r w:rsidR="00165767">
        <w:rPr>
          <w:rFonts w:ascii="Times New Roman" w:eastAsia="Times New Roman" w:hAnsi="Times New Roman" w:cs="Times New Roman"/>
          <w:sz w:val="24"/>
          <w:szCs w:val="24"/>
          <w:lang w:eastAsia="hr-HR"/>
        </w:rPr>
        <w:t>i</w:t>
      </w:r>
      <w:r w:rsidRPr="009E024C">
        <w:rPr>
          <w:rFonts w:ascii="Times New Roman" w:eastAsia="Times New Roman" w:hAnsi="Times New Roman" w:cs="Times New Roman"/>
          <w:sz w:val="24"/>
          <w:szCs w:val="24"/>
          <w:lang w:eastAsia="hr-HR"/>
        </w:rPr>
        <w:t xml:space="preserve"> rashod</w:t>
      </w:r>
      <w:r w:rsidR="00165767">
        <w:rPr>
          <w:rFonts w:ascii="Times New Roman" w:eastAsia="Times New Roman" w:hAnsi="Times New Roman" w:cs="Times New Roman"/>
          <w:sz w:val="24"/>
          <w:szCs w:val="24"/>
          <w:lang w:eastAsia="hr-HR"/>
        </w:rPr>
        <w:t>i</w:t>
      </w:r>
      <w:r w:rsidRPr="009E024C">
        <w:rPr>
          <w:rFonts w:ascii="Times New Roman" w:eastAsia="Times New Roman" w:hAnsi="Times New Roman" w:cs="Times New Roman"/>
          <w:sz w:val="24"/>
          <w:szCs w:val="24"/>
          <w:lang w:eastAsia="hr-HR"/>
        </w:rPr>
        <w:t xml:space="preserve"> u iznosu od </w:t>
      </w:r>
      <w:r w:rsidR="00417D4F">
        <w:rPr>
          <w:rFonts w:ascii="Times New Roman" w:eastAsia="Times New Roman" w:hAnsi="Times New Roman" w:cs="Times New Roman"/>
          <w:sz w:val="24"/>
          <w:szCs w:val="24"/>
          <w:lang w:eastAsia="hr-HR"/>
        </w:rPr>
        <w:t>134.185.331</w:t>
      </w:r>
      <w:r w:rsidRPr="009E024C">
        <w:rPr>
          <w:rFonts w:ascii="Times New Roman" w:eastAsia="Times New Roman" w:hAnsi="Times New Roman" w:cs="Times New Roman"/>
          <w:sz w:val="24"/>
          <w:szCs w:val="24"/>
          <w:lang w:eastAsia="hr-HR"/>
        </w:rPr>
        <w:t xml:space="preserve"> eur</w:t>
      </w:r>
      <w:r w:rsidR="004B7835">
        <w:rPr>
          <w:rFonts w:ascii="Times New Roman" w:eastAsia="Times New Roman" w:hAnsi="Times New Roman" w:cs="Times New Roman"/>
          <w:sz w:val="24"/>
          <w:szCs w:val="24"/>
          <w:lang w:eastAsia="hr-HR"/>
        </w:rPr>
        <w:t>a</w:t>
      </w:r>
      <w:r w:rsidRPr="009E024C">
        <w:rPr>
          <w:rFonts w:ascii="Times New Roman" w:eastAsia="Times New Roman" w:hAnsi="Times New Roman" w:cs="Times New Roman"/>
          <w:sz w:val="24"/>
          <w:szCs w:val="24"/>
          <w:lang w:eastAsia="hr-HR"/>
        </w:rPr>
        <w:t>, f</w:t>
      </w:r>
      <w:r w:rsidR="004B7835">
        <w:rPr>
          <w:rFonts w:ascii="Times New Roman" w:eastAsia="Times New Roman" w:hAnsi="Times New Roman" w:cs="Times New Roman"/>
          <w:sz w:val="24"/>
          <w:szCs w:val="24"/>
          <w:lang w:eastAsia="hr-HR"/>
        </w:rPr>
        <w:t>inancijsk</w:t>
      </w:r>
      <w:r w:rsidR="00165767">
        <w:rPr>
          <w:rFonts w:ascii="Times New Roman" w:eastAsia="Times New Roman" w:hAnsi="Times New Roman" w:cs="Times New Roman"/>
          <w:sz w:val="24"/>
          <w:szCs w:val="24"/>
          <w:lang w:eastAsia="hr-HR"/>
        </w:rPr>
        <w:t>i</w:t>
      </w:r>
      <w:r w:rsidR="004B7835">
        <w:rPr>
          <w:rFonts w:ascii="Times New Roman" w:eastAsia="Times New Roman" w:hAnsi="Times New Roman" w:cs="Times New Roman"/>
          <w:sz w:val="24"/>
          <w:szCs w:val="24"/>
          <w:lang w:eastAsia="hr-HR"/>
        </w:rPr>
        <w:t xml:space="preserve"> rashod</w:t>
      </w:r>
      <w:r w:rsidR="00165767">
        <w:rPr>
          <w:rFonts w:ascii="Times New Roman" w:eastAsia="Times New Roman" w:hAnsi="Times New Roman" w:cs="Times New Roman"/>
          <w:sz w:val="24"/>
          <w:szCs w:val="24"/>
          <w:lang w:eastAsia="hr-HR"/>
        </w:rPr>
        <w:t>i</w:t>
      </w:r>
      <w:r w:rsidR="004B7835">
        <w:rPr>
          <w:rFonts w:ascii="Times New Roman" w:eastAsia="Times New Roman" w:hAnsi="Times New Roman" w:cs="Times New Roman"/>
          <w:sz w:val="24"/>
          <w:szCs w:val="24"/>
          <w:lang w:eastAsia="hr-HR"/>
        </w:rPr>
        <w:t xml:space="preserve"> u iznosu od </w:t>
      </w:r>
      <w:r w:rsidR="00417D4F">
        <w:rPr>
          <w:rFonts w:ascii="Times New Roman" w:eastAsia="Times New Roman" w:hAnsi="Times New Roman" w:cs="Times New Roman"/>
          <w:sz w:val="24"/>
          <w:szCs w:val="24"/>
          <w:lang w:eastAsia="hr-HR"/>
        </w:rPr>
        <w:t>406.101</w:t>
      </w:r>
      <w:r w:rsidRPr="009E024C">
        <w:rPr>
          <w:rFonts w:ascii="Times New Roman" w:eastAsia="Times New Roman" w:hAnsi="Times New Roman" w:cs="Times New Roman"/>
          <w:sz w:val="24"/>
          <w:szCs w:val="24"/>
          <w:lang w:eastAsia="hr-HR"/>
        </w:rPr>
        <w:t xml:space="preserve"> euro, ostal</w:t>
      </w:r>
      <w:r w:rsidR="00165767">
        <w:rPr>
          <w:rFonts w:ascii="Times New Roman" w:eastAsia="Times New Roman" w:hAnsi="Times New Roman" w:cs="Times New Roman"/>
          <w:sz w:val="24"/>
          <w:szCs w:val="24"/>
          <w:lang w:eastAsia="hr-HR"/>
        </w:rPr>
        <w:t>i</w:t>
      </w:r>
      <w:r w:rsidRPr="009E024C">
        <w:rPr>
          <w:rFonts w:ascii="Times New Roman" w:eastAsia="Times New Roman" w:hAnsi="Times New Roman" w:cs="Times New Roman"/>
          <w:sz w:val="24"/>
          <w:szCs w:val="24"/>
          <w:lang w:eastAsia="hr-HR"/>
        </w:rPr>
        <w:t xml:space="preserve"> rashod</w:t>
      </w:r>
      <w:r w:rsidR="00165767">
        <w:rPr>
          <w:rFonts w:ascii="Times New Roman" w:eastAsia="Times New Roman" w:hAnsi="Times New Roman" w:cs="Times New Roman"/>
          <w:sz w:val="24"/>
          <w:szCs w:val="24"/>
          <w:lang w:eastAsia="hr-HR"/>
        </w:rPr>
        <w:t>i</w:t>
      </w:r>
      <w:r w:rsidRPr="009E024C">
        <w:rPr>
          <w:rFonts w:ascii="Times New Roman" w:eastAsia="Times New Roman" w:hAnsi="Times New Roman" w:cs="Times New Roman"/>
          <w:sz w:val="24"/>
          <w:szCs w:val="24"/>
          <w:lang w:eastAsia="hr-HR"/>
        </w:rPr>
        <w:t xml:space="preserve"> u iznosu od 800.000 eura. </w:t>
      </w:r>
    </w:p>
    <w:p w:rsidR="009E024C" w:rsidRPr="009E024C" w:rsidRDefault="009E024C" w:rsidP="00A75F6F">
      <w:pPr>
        <w:spacing w:before="120" w:after="0" w:line="240" w:lineRule="auto"/>
        <w:ind w:right="-51" w:firstLine="7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 xml:space="preserve">Planirani iznos za 2026. godinu utvrđen u </w:t>
      </w:r>
      <w:r w:rsidR="008C1FCE">
        <w:rPr>
          <w:rFonts w:ascii="Times New Roman" w:eastAsia="Times New Roman" w:hAnsi="Times New Roman" w:cs="Times New Roman"/>
          <w:sz w:val="24"/>
          <w:szCs w:val="24"/>
          <w:lang w:eastAsia="hr-HR"/>
        </w:rPr>
        <w:t>visini</w:t>
      </w:r>
      <w:r w:rsidRPr="009E024C">
        <w:rPr>
          <w:rFonts w:ascii="Times New Roman" w:eastAsia="Times New Roman" w:hAnsi="Times New Roman" w:cs="Times New Roman"/>
          <w:sz w:val="24"/>
          <w:szCs w:val="24"/>
          <w:lang w:eastAsia="hr-HR"/>
        </w:rPr>
        <w:t xml:space="preserve"> od </w:t>
      </w:r>
      <w:r w:rsidR="004B7835">
        <w:rPr>
          <w:rFonts w:ascii="Times New Roman" w:eastAsia="Times New Roman" w:hAnsi="Times New Roman" w:cs="Times New Roman"/>
          <w:sz w:val="24"/>
          <w:szCs w:val="24"/>
          <w:lang w:eastAsia="hr-HR"/>
        </w:rPr>
        <w:t>290.586.746</w:t>
      </w:r>
      <w:r w:rsidRPr="009E024C">
        <w:rPr>
          <w:rFonts w:ascii="Times New Roman" w:eastAsia="Times New Roman" w:hAnsi="Times New Roman" w:cs="Times New Roman"/>
          <w:sz w:val="24"/>
          <w:szCs w:val="24"/>
          <w:lang w:eastAsia="hr-HR"/>
        </w:rPr>
        <w:t xml:space="preserve"> eur</w:t>
      </w:r>
      <w:r w:rsidR="008C1FCE">
        <w:rPr>
          <w:rFonts w:ascii="Times New Roman" w:eastAsia="Times New Roman" w:hAnsi="Times New Roman" w:cs="Times New Roman"/>
          <w:sz w:val="24"/>
          <w:szCs w:val="24"/>
          <w:lang w:eastAsia="hr-HR"/>
        </w:rPr>
        <w:t>a</w:t>
      </w:r>
      <w:r w:rsidRPr="009E024C">
        <w:rPr>
          <w:rFonts w:ascii="Times New Roman" w:eastAsia="Times New Roman" w:hAnsi="Times New Roman" w:cs="Times New Roman"/>
          <w:sz w:val="24"/>
          <w:szCs w:val="24"/>
          <w:lang w:eastAsia="hr-HR"/>
        </w:rPr>
        <w:t xml:space="preserve"> odnosi se na rashode za zaposlene u iznosu od 1</w:t>
      </w:r>
      <w:r w:rsidR="008C1FCE">
        <w:rPr>
          <w:rFonts w:ascii="Times New Roman" w:eastAsia="Times New Roman" w:hAnsi="Times New Roman" w:cs="Times New Roman"/>
          <w:sz w:val="24"/>
          <w:szCs w:val="24"/>
          <w:lang w:eastAsia="hr-HR"/>
        </w:rPr>
        <w:t>35.989.705</w:t>
      </w:r>
      <w:r w:rsidRPr="009E024C">
        <w:rPr>
          <w:rFonts w:ascii="Times New Roman" w:eastAsia="Times New Roman" w:hAnsi="Times New Roman" w:cs="Times New Roman"/>
          <w:sz w:val="24"/>
          <w:szCs w:val="24"/>
          <w:lang w:eastAsia="hr-HR"/>
        </w:rPr>
        <w:t xml:space="preserve"> eura, materijalne rashode u iznosu od 153.490.940 eura, financijske rashode u iznosu od 306.101 euro, ostale rashode u iznosu od 800.000 eura.</w:t>
      </w:r>
    </w:p>
    <w:p w:rsidR="009E024C" w:rsidRPr="009E024C" w:rsidRDefault="009E024C" w:rsidP="00A75F6F">
      <w:pPr>
        <w:spacing w:before="120" w:after="0" w:line="240" w:lineRule="auto"/>
        <w:ind w:right="-51" w:firstLine="7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lastRenderedPageBreak/>
        <w:t>Na</w:t>
      </w:r>
      <w:r w:rsidRPr="009E024C">
        <w:rPr>
          <w:rFonts w:ascii="Times New Roman" w:eastAsia="Times New Roman" w:hAnsi="Times New Roman" w:cs="Times New Roman"/>
          <w:b/>
          <w:sz w:val="24"/>
          <w:szCs w:val="24"/>
          <w:lang w:eastAsia="hr-HR"/>
        </w:rPr>
        <w:t xml:space="preserve"> izvoru financiranja 52</w:t>
      </w:r>
      <w:r w:rsidRPr="009E024C">
        <w:rPr>
          <w:rFonts w:ascii="Times New Roman" w:eastAsia="Times New Roman" w:hAnsi="Times New Roman" w:cs="Times New Roman"/>
          <w:sz w:val="24"/>
          <w:szCs w:val="24"/>
          <w:lang w:eastAsia="hr-HR"/>
        </w:rPr>
        <w:t xml:space="preserve"> </w:t>
      </w:r>
      <w:r w:rsidRPr="00CB22C6">
        <w:rPr>
          <w:rFonts w:ascii="Times New Roman" w:eastAsia="Times New Roman" w:hAnsi="Times New Roman" w:cs="Times New Roman"/>
          <w:b/>
          <w:sz w:val="24"/>
          <w:szCs w:val="24"/>
          <w:lang w:eastAsia="hr-HR"/>
        </w:rPr>
        <w:t>Ostale pomoći</w:t>
      </w:r>
      <w:r w:rsidRPr="009E024C">
        <w:rPr>
          <w:rFonts w:ascii="Times New Roman" w:eastAsia="Times New Roman" w:hAnsi="Times New Roman" w:cs="Times New Roman"/>
          <w:sz w:val="24"/>
          <w:szCs w:val="24"/>
          <w:lang w:eastAsia="hr-HR"/>
        </w:rPr>
        <w:t xml:space="preserve"> planirano je za 2024. godinu 649.183 eura. Najveći dio iznosa se odnosi na plaće za redovan rad pripravnika zaposlenih temeljem ugovora s Hrv</w:t>
      </w:r>
      <w:r w:rsidR="00CB22C6">
        <w:rPr>
          <w:rFonts w:ascii="Times New Roman" w:eastAsia="Times New Roman" w:hAnsi="Times New Roman" w:cs="Times New Roman"/>
          <w:sz w:val="24"/>
          <w:szCs w:val="24"/>
          <w:lang w:eastAsia="hr-HR"/>
        </w:rPr>
        <w:t>atskim zavodom za zapošljavanje</w:t>
      </w:r>
      <w:r w:rsidRPr="009E024C">
        <w:rPr>
          <w:rFonts w:ascii="Times New Roman" w:eastAsia="Times New Roman" w:hAnsi="Times New Roman" w:cs="Times New Roman"/>
          <w:sz w:val="24"/>
          <w:szCs w:val="24"/>
          <w:lang w:eastAsia="hr-HR"/>
        </w:rPr>
        <w:t>. Za 2025. i 2026. godinu projekcija iznosi također 649.183 eura.</w:t>
      </w:r>
    </w:p>
    <w:p w:rsidR="009E024C" w:rsidRPr="009E024C" w:rsidRDefault="009E024C" w:rsidP="00A75F6F">
      <w:pPr>
        <w:spacing w:before="120" w:after="0" w:line="240" w:lineRule="auto"/>
        <w:ind w:right="-51" w:firstLine="7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b/>
          <w:sz w:val="24"/>
          <w:szCs w:val="24"/>
          <w:lang w:eastAsia="hr-HR"/>
        </w:rPr>
        <w:t>Izvor financiranja 61</w:t>
      </w:r>
      <w:r w:rsidRPr="009E024C">
        <w:rPr>
          <w:rFonts w:ascii="Times New Roman" w:eastAsia="Times New Roman" w:hAnsi="Times New Roman" w:cs="Times New Roman"/>
          <w:sz w:val="24"/>
          <w:szCs w:val="24"/>
          <w:lang w:eastAsia="hr-HR"/>
        </w:rPr>
        <w:t xml:space="preserve"> </w:t>
      </w:r>
      <w:r w:rsidRPr="00CB22C6">
        <w:rPr>
          <w:rFonts w:ascii="Times New Roman" w:eastAsia="Times New Roman" w:hAnsi="Times New Roman" w:cs="Times New Roman"/>
          <w:b/>
          <w:sz w:val="24"/>
          <w:szCs w:val="24"/>
          <w:lang w:eastAsia="hr-HR"/>
        </w:rPr>
        <w:t>Donacije</w:t>
      </w:r>
      <w:r w:rsidRPr="009E024C">
        <w:rPr>
          <w:rFonts w:ascii="Times New Roman" w:eastAsia="Times New Roman" w:hAnsi="Times New Roman" w:cs="Times New Roman"/>
          <w:sz w:val="24"/>
          <w:szCs w:val="24"/>
          <w:lang w:eastAsia="hr-HR"/>
        </w:rPr>
        <w:t xml:space="preserve"> predviđa za 2024. godinu iznos od 131.695 eura. Materijalni rashodi čine 128.195 eura ukupnog iznosa, a 3.500 eura se odnosi na rashode za zaposlene. Projekcija financijskog plana za 2025. i 2026. godinu iznosi također 131. 695 eura.</w:t>
      </w:r>
    </w:p>
    <w:p w:rsidR="009E024C" w:rsidRPr="009E024C" w:rsidRDefault="009E024C" w:rsidP="009E024C">
      <w:pPr>
        <w:spacing w:after="0" w:line="240" w:lineRule="auto"/>
        <w:ind w:right="657"/>
        <w:jc w:val="both"/>
        <w:rPr>
          <w:rFonts w:ascii="Times New Roman" w:eastAsia="Times New Roman" w:hAnsi="Times New Roman" w:cs="Times New Roman"/>
          <w:b/>
          <w:sz w:val="24"/>
          <w:szCs w:val="24"/>
          <w:lang w:eastAsia="hr-HR"/>
        </w:rPr>
      </w:pPr>
    </w:p>
    <w:p w:rsidR="009E024C" w:rsidRPr="009E024C" w:rsidRDefault="009E024C" w:rsidP="00A75F6F">
      <w:pPr>
        <w:spacing w:after="0" w:line="240" w:lineRule="auto"/>
        <w:ind w:right="657"/>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Pokazatelji rezultata</w:t>
      </w:r>
    </w:p>
    <w:p w:rsidR="009E024C" w:rsidRPr="009E024C" w:rsidRDefault="009E024C" w:rsidP="009E024C">
      <w:pPr>
        <w:spacing w:after="0" w:line="240" w:lineRule="auto"/>
        <w:ind w:left="709" w:right="657"/>
        <w:jc w:val="both"/>
        <w:rPr>
          <w:rFonts w:ascii="Times New Roman" w:eastAsia="Times New Roman" w:hAnsi="Times New Roman" w:cs="Times New Roman"/>
          <w:b/>
          <w:sz w:val="24"/>
          <w:szCs w:val="24"/>
          <w:lang w:eastAsia="hr-HR"/>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1739"/>
        <w:gridCol w:w="1070"/>
        <w:gridCol w:w="1122"/>
        <w:gridCol w:w="993"/>
        <w:gridCol w:w="1134"/>
        <w:gridCol w:w="1093"/>
        <w:gridCol w:w="1316"/>
      </w:tblGrid>
      <w:tr w:rsidR="009E024C" w:rsidRPr="009E024C" w:rsidTr="008C5D88">
        <w:trPr>
          <w:trHeight w:val="684"/>
        </w:trPr>
        <w:tc>
          <w:tcPr>
            <w:tcW w:w="1172" w:type="dxa"/>
            <w:shd w:val="clear" w:color="auto" w:fill="auto"/>
          </w:tcPr>
          <w:p w:rsidR="009E024C" w:rsidRPr="009E024C" w:rsidRDefault="009E024C" w:rsidP="009E024C">
            <w:pPr>
              <w:spacing w:after="0" w:line="240" w:lineRule="auto"/>
              <w:ind w:right="-9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Pokazatelj rezultata</w:t>
            </w:r>
          </w:p>
        </w:tc>
        <w:tc>
          <w:tcPr>
            <w:tcW w:w="1739" w:type="dxa"/>
            <w:shd w:val="clear" w:color="auto" w:fill="auto"/>
          </w:tcPr>
          <w:p w:rsidR="009E024C" w:rsidRPr="009E024C" w:rsidRDefault="009E024C" w:rsidP="009E024C">
            <w:pPr>
              <w:spacing w:after="0" w:line="240" w:lineRule="auto"/>
              <w:ind w:right="-9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Definicija</w:t>
            </w:r>
          </w:p>
        </w:tc>
        <w:tc>
          <w:tcPr>
            <w:tcW w:w="1070" w:type="dxa"/>
            <w:shd w:val="clear" w:color="auto" w:fill="auto"/>
          </w:tcPr>
          <w:p w:rsidR="009E024C" w:rsidRPr="009E024C" w:rsidRDefault="009E024C" w:rsidP="009E024C">
            <w:pPr>
              <w:spacing w:after="0" w:line="240" w:lineRule="auto"/>
              <w:ind w:left="-108" w:right="-9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Jedinica</w:t>
            </w:r>
          </w:p>
        </w:tc>
        <w:tc>
          <w:tcPr>
            <w:tcW w:w="1122" w:type="dxa"/>
            <w:shd w:val="clear" w:color="auto" w:fill="auto"/>
          </w:tcPr>
          <w:p w:rsidR="009E024C" w:rsidRPr="009E024C" w:rsidRDefault="009E024C" w:rsidP="009E024C">
            <w:pPr>
              <w:spacing w:after="0" w:line="240" w:lineRule="auto"/>
              <w:ind w:left="-175" w:right="-91"/>
              <w:jc w:val="center"/>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Polazna vrijednost</w:t>
            </w:r>
          </w:p>
          <w:p w:rsidR="009E024C" w:rsidRPr="009E024C" w:rsidRDefault="009E024C" w:rsidP="009E024C">
            <w:pPr>
              <w:spacing w:after="0" w:line="240" w:lineRule="auto"/>
              <w:ind w:left="-175" w:right="-91"/>
              <w:jc w:val="center"/>
              <w:rPr>
                <w:rFonts w:ascii="Times New Roman" w:eastAsia="Times New Roman" w:hAnsi="Times New Roman" w:cs="Times New Roman"/>
                <w:sz w:val="24"/>
                <w:szCs w:val="24"/>
                <w:lang w:eastAsia="hr-HR"/>
              </w:rPr>
            </w:pPr>
          </w:p>
        </w:tc>
        <w:tc>
          <w:tcPr>
            <w:tcW w:w="993" w:type="dxa"/>
            <w:shd w:val="clear" w:color="auto" w:fill="auto"/>
          </w:tcPr>
          <w:p w:rsidR="009E024C" w:rsidRPr="009E024C" w:rsidRDefault="009E024C" w:rsidP="009E024C">
            <w:pPr>
              <w:spacing w:after="0" w:line="240" w:lineRule="auto"/>
              <w:ind w:right="-9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Izvor podataka</w:t>
            </w:r>
          </w:p>
        </w:tc>
        <w:tc>
          <w:tcPr>
            <w:tcW w:w="1134" w:type="dxa"/>
            <w:shd w:val="clear" w:color="auto" w:fill="auto"/>
          </w:tcPr>
          <w:p w:rsidR="009E024C" w:rsidRPr="009E024C" w:rsidRDefault="009E024C" w:rsidP="009E024C">
            <w:pPr>
              <w:spacing w:after="0" w:line="240" w:lineRule="auto"/>
              <w:ind w:right="-9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Ciljana vrijednost (2024.)</w:t>
            </w:r>
          </w:p>
        </w:tc>
        <w:tc>
          <w:tcPr>
            <w:tcW w:w="1093" w:type="dxa"/>
            <w:shd w:val="clear" w:color="auto" w:fill="auto"/>
          </w:tcPr>
          <w:p w:rsidR="009E024C" w:rsidRPr="009E024C" w:rsidRDefault="009E024C" w:rsidP="009E024C">
            <w:pPr>
              <w:spacing w:after="0" w:line="240" w:lineRule="auto"/>
              <w:ind w:right="-108"/>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Ciljana vrijednost (2025.)</w:t>
            </w:r>
          </w:p>
        </w:tc>
        <w:tc>
          <w:tcPr>
            <w:tcW w:w="1316" w:type="dxa"/>
            <w:shd w:val="clear" w:color="auto" w:fill="auto"/>
          </w:tcPr>
          <w:p w:rsidR="009E024C" w:rsidRPr="009E024C" w:rsidRDefault="009E024C" w:rsidP="009E024C">
            <w:pPr>
              <w:spacing w:after="0" w:line="240" w:lineRule="auto"/>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Ciljana vrijednost (2026.)</w:t>
            </w:r>
          </w:p>
        </w:tc>
      </w:tr>
      <w:tr w:rsidR="009E024C" w:rsidRPr="009E024C" w:rsidTr="008C5D88">
        <w:trPr>
          <w:cantSplit/>
          <w:trHeight w:val="941"/>
        </w:trPr>
        <w:tc>
          <w:tcPr>
            <w:tcW w:w="1172" w:type="dxa"/>
            <w:shd w:val="clear" w:color="auto" w:fill="auto"/>
          </w:tcPr>
          <w:p w:rsidR="009E024C" w:rsidRPr="009E024C" w:rsidRDefault="009E024C" w:rsidP="009E024C">
            <w:pPr>
              <w:spacing w:after="0" w:line="240" w:lineRule="auto"/>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Prosječna dužina liječenja akutnih pacijenata</w:t>
            </w:r>
          </w:p>
        </w:tc>
        <w:tc>
          <w:tcPr>
            <w:tcW w:w="1739" w:type="dxa"/>
            <w:shd w:val="clear" w:color="auto" w:fill="auto"/>
          </w:tcPr>
          <w:p w:rsidR="009E024C" w:rsidRPr="009E024C" w:rsidRDefault="009E024C" w:rsidP="009E024C">
            <w:pPr>
              <w:spacing w:after="0" w:line="240" w:lineRule="auto"/>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Praćenje dužine liječenja u akutnim bolnicama</w:t>
            </w:r>
          </w:p>
        </w:tc>
        <w:tc>
          <w:tcPr>
            <w:tcW w:w="1070" w:type="dxa"/>
            <w:shd w:val="clear" w:color="auto" w:fill="auto"/>
          </w:tcPr>
          <w:p w:rsidR="009E024C" w:rsidRPr="009E024C" w:rsidRDefault="009E024C" w:rsidP="009E024C">
            <w:pPr>
              <w:spacing w:after="0" w:line="240" w:lineRule="auto"/>
              <w:ind w:right="-108"/>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Prosječan broj dana</w:t>
            </w:r>
          </w:p>
        </w:tc>
        <w:tc>
          <w:tcPr>
            <w:tcW w:w="1122" w:type="dxa"/>
            <w:shd w:val="clear" w:color="auto" w:fill="auto"/>
          </w:tcPr>
          <w:p w:rsidR="009E024C" w:rsidRPr="009E024C" w:rsidRDefault="009E024C" w:rsidP="009E024C">
            <w:pPr>
              <w:spacing w:after="0" w:line="240" w:lineRule="auto"/>
              <w:ind w:right="195"/>
              <w:jc w:val="center"/>
              <w:rPr>
                <w:rFonts w:ascii="Times New Roman" w:eastAsia="Times New Roman" w:hAnsi="Times New Roman" w:cs="Times New Roman"/>
                <w:color w:val="000000"/>
                <w:sz w:val="24"/>
                <w:szCs w:val="24"/>
                <w:lang w:eastAsia="hr-HR"/>
              </w:rPr>
            </w:pPr>
          </w:p>
          <w:p w:rsidR="009E024C" w:rsidRPr="009E024C" w:rsidRDefault="009E024C" w:rsidP="009E024C">
            <w:pPr>
              <w:spacing w:after="0" w:line="240" w:lineRule="auto"/>
              <w:ind w:right="195"/>
              <w:jc w:val="center"/>
              <w:rPr>
                <w:rFonts w:ascii="Times New Roman" w:eastAsia="Times New Roman" w:hAnsi="Times New Roman" w:cs="Times New Roman"/>
                <w:color w:val="000000"/>
                <w:sz w:val="24"/>
                <w:szCs w:val="24"/>
                <w:highlight w:val="red"/>
                <w:lang w:eastAsia="hr-HR"/>
              </w:rPr>
            </w:pPr>
            <w:r w:rsidRPr="009E024C">
              <w:rPr>
                <w:rFonts w:ascii="Times New Roman" w:eastAsia="Times New Roman" w:hAnsi="Times New Roman" w:cs="Times New Roman"/>
                <w:color w:val="000000"/>
                <w:sz w:val="24"/>
                <w:szCs w:val="24"/>
                <w:lang w:eastAsia="hr-HR"/>
              </w:rPr>
              <w:t>6,07</w:t>
            </w:r>
          </w:p>
        </w:tc>
        <w:tc>
          <w:tcPr>
            <w:tcW w:w="993" w:type="dxa"/>
            <w:shd w:val="clear" w:color="auto" w:fill="auto"/>
          </w:tcPr>
          <w:p w:rsidR="009E024C" w:rsidRPr="009E024C" w:rsidRDefault="009E024C" w:rsidP="009E024C">
            <w:pPr>
              <w:spacing w:after="0" w:line="240" w:lineRule="auto"/>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jc w:val="center"/>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BIS</w:t>
            </w:r>
          </w:p>
        </w:tc>
        <w:tc>
          <w:tcPr>
            <w:tcW w:w="1134" w:type="dxa"/>
            <w:shd w:val="clear" w:color="auto" w:fill="auto"/>
          </w:tcPr>
          <w:p w:rsidR="009E024C" w:rsidRPr="009E024C" w:rsidRDefault="009E024C" w:rsidP="009E024C">
            <w:pPr>
              <w:spacing w:after="0" w:line="240" w:lineRule="auto"/>
              <w:ind w:right="10"/>
              <w:jc w:val="center"/>
              <w:rPr>
                <w:rFonts w:ascii="Times New Roman" w:eastAsia="Times New Roman" w:hAnsi="Times New Roman" w:cs="Times New Roman"/>
                <w:color w:val="000000"/>
                <w:sz w:val="24"/>
                <w:szCs w:val="24"/>
                <w:lang w:eastAsia="hr-HR"/>
              </w:rPr>
            </w:pPr>
          </w:p>
          <w:p w:rsidR="009E024C" w:rsidRPr="009E024C" w:rsidRDefault="009E024C" w:rsidP="009E024C">
            <w:pPr>
              <w:spacing w:after="0" w:line="240" w:lineRule="auto"/>
              <w:ind w:right="10"/>
              <w:jc w:val="center"/>
              <w:rPr>
                <w:rFonts w:ascii="Times New Roman" w:eastAsia="Times New Roman" w:hAnsi="Times New Roman" w:cs="Times New Roman"/>
                <w:color w:val="000000"/>
                <w:sz w:val="24"/>
                <w:szCs w:val="24"/>
                <w:lang w:eastAsia="hr-HR"/>
              </w:rPr>
            </w:pPr>
            <w:r w:rsidRPr="009E024C">
              <w:rPr>
                <w:rFonts w:ascii="Times New Roman" w:eastAsia="Times New Roman" w:hAnsi="Times New Roman" w:cs="Times New Roman"/>
                <w:color w:val="000000"/>
                <w:sz w:val="24"/>
                <w:szCs w:val="24"/>
                <w:lang w:eastAsia="hr-HR"/>
              </w:rPr>
              <w:t>6,00</w:t>
            </w:r>
          </w:p>
        </w:tc>
        <w:tc>
          <w:tcPr>
            <w:tcW w:w="1093" w:type="dxa"/>
            <w:shd w:val="clear" w:color="auto" w:fill="auto"/>
          </w:tcPr>
          <w:p w:rsidR="009E024C" w:rsidRPr="009E024C" w:rsidRDefault="009E024C" w:rsidP="009E024C">
            <w:pPr>
              <w:spacing w:after="0" w:line="240" w:lineRule="auto"/>
              <w:ind w:right="194"/>
              <w:jc w:val="center"/>
              <w:rPr>
                <w:rFonts w:ascii="Times New Roman" w:eastAsia="Times New Roman" w:hAnsi="Times New Roman" w:cs="Times New Roman"/>
                <w:color w:val="000000"/>
                <w:sz w:val="24"/>
                <w:szCs w:val="24"/>
                <w:lang w:eastAsia="hr-HR"/>
              </w:rPr>
            </w:pPr>
          </w:p>
          <w:p w:rsidR="009E024C" w:rsidRPr="009E024C" w:rsidRDefault="009E024C" w:rsidP="009E024C">
            <w:pPr>
              <w:spacing w:after="0" w:line="240" w:lineRule="auto"/>
              <w:ind w:right="194"/>
              <w:jc w:val="center"/>
              <w:rPr>
                <w:rFonts w:ascii="Times New Roman" w:eastAsia="Times New Roman" w:hAnsi="Times New Roman" w:cs="Times New Roman"/>
                <w:color w:val="000000"/>
                <w:sz w:val="24"/>
                <w:szCs w:val="24"/>
                <w:lang w:eastAsia="hr-HR"/>
              </w:rPr>
            </w:pPr>
            <w:r w:rsidRPr="009E024C">
              <w:rPr>
                <w:rFonts w:ascii="Times New Roman" w:eastAsia="Times New Roman" w:hAnsi="Times New Roman" w:cs="Times New Roman"/>
                <w:color w:val="000000"/>
                <w:sz w:val="24"/>
                <w:szCs w:val="24"/>
                <w:lang w:eastAsia="hr-HR"/>
              </w:rPr>
              <w:t>5,90</w:t>
            </w:r>
          </w:p>
        </w:tc>
        <w:tc>
          <w:tcPr>
            <w:tcW w:w="1316" w:type="dxa"/>
            <w:shd w:val="clear" w:color="auto" w:fill="auto"/>
          </w:tcPr>
          <w:p w:rsidR="009E024C" w:rsidRPr="009E024C" w:rsidRDefault="009E024C" w:rsidP="009E024C">
            <w:pPr>
              <w:spacing w:after="0" w:line="240" w:lineRule="auto"/>
              <w:jc w:val="center"/>
              <w:rPr>
                <w:rFonts w:ascii="Times New Roman" w:eastAsia="Times New Roman" w:hAnsi="Times New Roman" w:cs="Times New Roman"/>
                <w:color w:val="000000"/>
                <w:sz w:val="24"/>
                <w:szCs w:val="24"/>
                <w:lang w:eastAsia="hr-HR"/>
              </w:rPr>
            </w:pPr>
          </w:p>
          <w:p w:rsidR="009E024C" w:rsidRPr="009E024C" w:rsidRDefault="009E024C" w:rsidP="009E024C">
            <w:pPr>
              <w:spacing w:after="0" w:line="240" w:lineRule="auto"/>
              <w:jc w:val="center"/>
              <w:rPr>
                <w:rFonts w:ascii="Times New Roman" w:eastAsia="Times New Roman" w:hAnsi="Times New Roman" w:cs="Times New Roman"/>
                <w:color w:val="000000"/>
                <w:sz w:val="24"/>
                <w:szCs w:val="24"/>
                <w:lang w:eastAsia="hr-HR"/>
              </w:rPr>
            </w:pPr>
            <w:r w:rsidRPr="009E024C">
              <w:rPr>
                <w:rFonts w:ascii="Times New Roman" w:eastAsia="Times New Roman" w:hAnsi="Times New Roman" w:cs="Times New Roman"/>
                <w:color w:val="000000"/>
                <w:sz w:val="24"/>
                <w:szCs w:val="24"/>
                <w:lang w:eastAsia="hr-HR"/>
              </w:rPr>
              <w:t>5,80</w:t>
            </w:r>
          </w:p>
        </w:tc>
      </w:tr>
    </w:tbl>
    <w:p w:rsidR="00A75F6F" w:rsidRDefault="00A75F6F" w:rsidP="00A75F6F">
      <w:pPr>
        <w:tabs>
          <w:tab w:val="left" w:pos="851"/>
        </w:tabs>
        <w:spacing w:before="120" w:after="0" w:line="240" w:lineRule="auto"/>
        <w:ind w:right="373"/>
        <w:jc w:val="both"/>
        <w:rPr>
          <w:rFonts w:ascii="Times New Roman" w:eastAsia="Times New Roman" w:hAnsi="Times New Roman" w:cs="Times New Roman"/>
          <w:sz w:val="24"/>
          <w:szCs w:val="24"/>
          <w:lang w:eastAsia="hr-HR"/>
        </w:rPr>
      </w:pPr>
    </w:p>
    <w:p w:rsidR="008C5D88" w:rsidRDefault="008C5D88" w:rsidP="00A75F6F">
      <w:pPr>
        <w:tabs>
          <w:tab w:val="left" w:pos="851"/>
        </w:tabs>
        <w:spacing w:before="120" w:after="0" w:line="240" w:lineRule="auto"/>
        <w:ind w:right="373"/>
        <w:jc w:val="both"/>
        <w:rPr>
          <w:rFonts w:ascii="Times New Roman" w:eastAsia="Times New Roman" w:hAnsi="Times New Roman" w:cs="Times New Roman"/>
          <w:sz w:val="24"/>
          <w:szCs w:val="24"/>
          <w:lang w:eastAsia="hr-HR"/>
        </w:rPr>
      </w:pPr>
    </w:p>
    <w:p w:rsidR="004B7835" w:rsidRDefault="004B7835" w:rsidP="00A75F6F">
      <w:pPr>
        <w:tabs>
          <w:tab w:val="left" w:pos="851"/>
        </w:tabs>
        <w:spacing w:before="120" w:after="0" w:line="240" w:lineRule="auto"/>
        <w:ind w:right="373"/>
        <w:jc w:val="both"/>
        <w:rPr>
          <w:rFonts w:ascii="Times New Roman" w:eastAsia="Times New Roman" w:hAnsi="Times New Roman" w:cs="Times New Roman"/>
          <w:sz w:val="24"/>
          <w:szCs w:val="24"/>
          <w:lang w:eastAsia="hr-HR"/>
        </w:rPr>
      </w:pPr>
    </w:p>
    <w:p w:rsidR="009E024C" w:rsidRPr="009E024C" w:rsidRDefault="009E024C" w:rsidP="00A75F6F">
      <w:pPr>
        <w:tabs>
          <w:tab w:val="left" w:pos="851"/>
        </w:tabs>
        <w:spacing w:before="120" w:after="0" w:line="240" w:lineRule="auto"/>
        <w:ind w:right="373"/>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IV Aktivnost A895003 – PROVEDBA PREVENTIVNIH PROGRAMA</w:t>
      </w:r>
    </w:p>
    <w:p w:rsidR="009E024C" w:rsidRPr="009E024C" w:rsidRDefault="009E024C" w:rsidP="009E024C">
      <w:pPr>
        <w:tabs>
          <w:tab w:val="left" w:pos="851"/>
        </w:tabs>
        <w:spacing w:before="120" w:after="0" w:line="240" w:lineRule="auto"/>
        <w:ind w:right="373"/>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Zakonske i druge pravne osnove</w:t>
      </w:r>
    </w:p>
    <w:p w:rsidR="009E024C" w:rsidRPr="009E024C" w:rsidRDefault="009E024C" w:rsidP="005419C5">
      <w:pPr>
        <w:spacing w:before="120" w:after="0" w:line="240" w:lineRule="auto"/>
        <w:ind w:right="-51" w:firstLine="7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 xml:space="preserve">Zakon o zdravstvenoj zaštiti; Zakon o suzbijanju zlouporabe droga; </w:t>
      </w:r>
      <w:r w:rsidR="005419C5" w:rsidRPr="005419C5">
        <w:rPr>
          <w:rFonts w:ascii="Times New Roman" w:eastAsia="Times New Roman" w:hAnsi="Times New Roman" w:cs="Times New Roman"/>
          <w:sz w:val="24"/>
          <w:szCs w:val="24"/>
          <w:lang w:eastAsia="hr-HR"/>
        </w:rPr>
        <w:t>Odluka o proračunskom okviru za razdoblje 2024. - 2026.</w:t>
      </w:r>
      <w:r w:rsidR="005419C5">
        <w:rPr>
          <w:rFonts w:ascii="Times New Roman" w:eastAsia="Times New Roman" w:hAnsi="Times New Roman" w:cs="Times New Roman"/>
          <w:sz w:val="24"/>
          <w:szCs w:val="24"/>
          <w:lang w:eastAsia="hr-HR"/>
        </w:rPr>
        <w:t xml:space="preserve">; </w:t>
      </w:r>
      <w:r w:rsidRPr="009E024C">
        <w:rPr>
          <w:rFonts w:ascii="Times New Roman" w:eastAsia="Times New Roman" w:hAnsi="Times New Roman" w:cs="Times New Roman"/>
          <w:sz w:val="24"/>
          <w:szCs w:val="24"/>
          <w:lang w:eastAsia="hr-HR"/>
        </w:rPr>
        <w:t>Nacionalni akcijski plan suzbijanja zlouporabe droga u Republici Hrvatskoj, Ugovor na temelju Odluke o sufinanciranju programa: Rad Centra za ovisnosti o drogama pri KBC Sestre milosrdnice; Nacionalni preventivni program za rano otkrivanje melanoma</w:t>
      </w:r>
    </w:p>
    <w:p w:rsidR="009E024C" w:rsidRDefault="009E024C" w:rsidP="008E3300">
      <w:pPr>
        <w:spacing w:before="120" w:after="0" w:line="240" w:lineRule="auto"/>
        <w:ind w:right="-51" w:firstLine="708"/>
        <w:jc w:val="both"/>
        <w:rPr>
          <w:rFonts w:ascii="Times New Roman" w:eastAsia="Times New Roman" w:hAnsi="Times New Roman" w:cs="Times New Roman"/>
          <w:sz w:val="24"/>
          <w:szCs w:val="24"/>
          <w:lang w:eastAsia="hr-HR"/>
        </w:rPr>
      </w:pPr>
    </w:p>
    <w:p w:rsidR="009E024C" w:rsidRPr="009E024C" w:rsidRDefault="009E024C" w:rsidP="008E3300">
      <w:pPr>
        <w:tabs>
          <w:tab w:val="left" w:pos="851"/>
        </w:tabs>
        <w:spacing w:before="120" w:after="0" w:line="240" w:lineRule="auto"/>
        <w:ind w:right="90"/>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t>Planirana i izvršena financijska sredstva na razini aktivnosti</w:t>
      </w:r>
    </w:p>
    <w:p w:rsidR="009E024C" w:rsidRPr="009E024C" w:rsidRDefault="009E024C" w:rsidP="009E024C">
      <w:pPr>
        <w:spacing w:before="120" w:after="0" w:line="240" w:lineRule="auto"/>
        <w:ind w:left="1069" w:right="374"/>
        <w:jc w:val="both"/>
        <w:rPr>
          <w:rFonts w:ascii="Times New Roman" w:eastAsia="Times New Roman" w:hAnsi="Times New Roman" w:cs="Times New Roman"/>
          <w:b/>
          <w:sz w:val="24"/>
          <w:szCs w:val="24"/>
          <w:lang w:eastAsia="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7"/>
        <w:gridCol w:w="1681"/>
        <w:gridCol w:w="1261"/>
        <w:gridCol w:w="1261"/>
        <w:gridCol w:w="1261"/>
        <w:gridCol w:w="1260"/>
        <w:gridCol w:w="1261"/>
      </w:tblGrid>
      <w:tr w:rsidR="009E024C" w:rsidRPr="009E024C" w:rsidTr="008E3300">
        <w:trPr>
          <w:trHeight w:val="650"/>
        </w:trPr>
        <w:tc>
          <w:tcPr>
            <w:tcW w:w="1087" w:type="dxa"/>
            <w:shd w:val="clear" w:color="auto" w:fill="auto"/>
          </w:tcPr>
          <w:p w:rsidR="009E024C" w:rsidRPr="009E024C" w:rsidRDefault="009E024C" w:rsidP="009E024C">
            <w:pPr>
              <w:spacing w:before="120" w:after="0" w:line="240" w:lineRule="auto"/>
              <w:ind w:right="-1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Naziv aktivnosti</w:t>
            </w:r>
          </w:p>
        </w:tc>
        <w:tc>
          <w:tcPr>
            <w:tcW w:w="1681" w:type="dxa"/>
            <w:shd w:val="clear" w:color="auto" w:fill="auto"/>
          </w:tcPr>
          <w:p w:rsidR="009E024C" w:rsidRPr="009E024C" w:rsidRDefault="009E024C" w:rsidP="009E024C">
            <w:pPr>
              <w:spacing w:before="120" w:after="0" w:line="240" w:lineRule="auto"/>
              <w:ind w:right="-1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Izvršenje 2022.</w:t>
            </w:r>
          </w:p>
        </w:tc>
        <w:tc>
          <w:tcPr>
            <w:tcW w:w="1261" w:type="dxa"/>
            <w:shd w:val="clear" w:color="auto" w:fill="auto"/>
          </w:tcPr>
          <w:p w:rsidR="009E024C" w:rsidRPr="009E024C" w:rsidRDefault="00511E21" w:rsidP="009E024C">
            <w:pPr>
              <w:spacing w:before="120" w:after="0" w:line="240" w:lineRule="auto"/>
              <w:ind w:right="-108"/>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Rebalans I</w:t>
            </w:r>
            <w:r>
              <w:rPr>
                <w:rFonts w:ascii="Times New Roman" w:eastAsia="Times New Roman" w:hAnsi="Times New Roman" w:cs="Times New Roman"/>
                <w:lang w:eastAsia="hr-HR"/>
              </w:rPr>
              <w:t>I</w:t>
            </w:r>
            <w:r w:rsidRPr="009E024C">
              <w:rPr>
                <w:rFonts w:ascii="Times New Roman" w:eastAsia="Times New Roman" w:hAnsi="Times New Roman" w:cs="Times New Roman"/>
                <w:lang w:eastAsia="hr-HR"/>
              </w:rPr>
              <w:t xml:space="preserve"> Plana 2023.</w:t>
            </w:r>
          </w:p>
        </w:tc>
        <w:tc>
          <w:tcPr>
            <w:tcW w:w="1261" w:type="dxa"/>
            <w:shd w:val="clear" w:color="auto" w:fill="auto"/>
          </w:tcPr>
          <w:p w:rsidR="009E024C" w:rsidRPr="009E024C" w:rsidRDefault="009E024C" w:rsidP="009E024C">
            <w:pPr>
              <w:spacing w:before="120" w:after="0" w:line="240" w:lineRule="auto"/>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Plan 2024.</w:t>
            </w:r>
          </w:p>
        </w:tc>
        <w:tc>
          <w:tcPr>
            <w:tcW w:w="1261" w:type="dxa"/>
            <w:shd w:val="clear" w:color="auto" w:fill="auto"/>
          </w:tcPr>
          <w:p w:rsidR="009E024C" w:rsidRPr="009E024C" w:rsidRDefault="009E024C" w:rsidP="009E024C">
            <w:pPr>
              <w:spacing w:before="120" w:after="0" w:line="240" w:lineRule="auto"/>
              <w:ind w:right="-1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Plan 2025.</w:t>
            </w:r>
          </w:p>
        </w:tc>
        <w:tc>
          <w:tcPr>
            <w:tcW w:w="1260" w:type="dxa"/>
            <w:shd w:val="clear" w:color="auto" w:fill="auto"/>
          </w:tcPr>
          <w:p w:rsidR="009E024C" w:rsidRPr="009E024C" w:rsidRDefault="009E024C" w:rsidP="009E024C">
            <w:pPr>
              <w:spacing w:before="120" w:after="0" w:line="240" w:lineRule="auto"/>
              <w:ind w:right="-1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Plan 2026.</w:t>
            </w:r>
          </w:p>
        </w:tc>
        <w:tc>
          <w:tcPr>
            <w:tcW w:w="1261" w:type="dxa"/>
            <w:shd w:val="clear" w:color="auto" w:fill="auto"/>
          </w:tcPr>
          <w:p w:rsidR="009E024C" w:rsidRPr="009E024C" w:rsidRDefault="009E024C" w:rsidP="009E024C">
            <w:pPr>
              <w:spacing w:before="120" w:after="0" w:line="240" w:lineRule="auto"/>
              <w:ind w:right="-1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Indeks 2024/2023</w:t>
            </w:r>
          </w:p>
        </w:tc>
      </w:tr>
      <w:tr w:rsidR="009E024C" w:rsidRPr="009E024C" w:rsidTr="008E3300">
        <w:trPr>
          <w:trHeight w:val="384"/>
        </w:trPr>
        <w:tc>
          <w:tcPr>
            <w:tcW w:w="1087" w:type="dxa"/>
            <w:shd w:val="clear" w:color="auto" w:fill="auto"/>
          </w:tcPr>
          <w:p w:rsidR="009E024C" w:rsidRPr="009E024C" w:rsidRDefault="009E024C" w:rsidP="009E024C">
            <w:pPr>
              <w:spacing w:before="120" w:after="0" w:line="240" w:lineRule="auto"/>
              <w:ind w:right="-108"/>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A895003</w:t>
            </w:r>
          </w:p>
        </w:tc>
        <w:tc>
          <w:tcPr>
            <w:tcW w:w="1681" w:type="dxa"/>
            <w:shd w:val="clear" w:color="auto" w:fill="auto"/>
          </w:tcPr>
          <w:p w:rsidR="009E024C" w:rsidRPr="009E024C" w:rsidRDefault="009E024C" w:rsidP="009E024C">
            <w:pPr>
              <w:spacing w:before="120" w:after="0" w:line="240" w:lineRule="auto"/>
              <w:ind w:right="-108"/>
              <w:jc w:val="center"/>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31.230,38</w:t>
            </w:r>
          </w:p>
        </w:tc>
        <w:tc>
          <w:tcPr>
            <w:tcW w:w="1261" w:type="dxa"/>
            <w:shd w:val="clear" w:color="auto" w:fill="auto"/>
          </w:tcPr>
          <w:p w:rsidR="009E024C" w:rsidRPr="009E024C" w:rsidRDefault="009E024C" w:rsidP="009E024C">
            <w:pPr>
              <w:spacing w:before="120" w:after="0" w:line="240" w:lineRule="auto"/>
              <w:ind w:left="-108" w:right="-108"/>
              <w:jc w:val="center"/>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86.318</w:t>
            </w:r>
          </w:p>
        </w:tc>
        <w:tc>
          <w:tcPr>
            <w:tcW w:w="1261" w:type="dxa"/>
            <w:shd w:val="clear" w:color="auto" w:fill="auto"/>
          </w:tcPr>
          <w:p w:rsidR="009E024C" w:rsidRPr="009E024C" w:rsidRDefault="000E329C" w:rsidP="009E024C">
            <w:pPr>
              <w:spacing w:before="120" w:after="0" w:line="240" w:lineRule="auto"/>
              <w:ind w:right="-108"/>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146.318</w:t>
            </w:r>
          </w:p>
        </w:tc>
        <w:tc>
          <w:tcPr>
            <w:tcW w:w="1261" w:type="dxa"/>
            <w:shd w:val="clear" w:color="auto" w:fill="auto"/>
          </w:tcPr>
          <w:p w:rsidR="009E024C" w:rsidRPr="009E024C" w:rsidRDefault="000E329C" w:rsidP="009E024C">
            <w:pPr>
              <w:spacing w:before="120" w:after="0" w:line="240" w:lineRule="auto"/>
              <w:ind w:right="-123"/>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116.318</w:t>
            </w:r>
          </w:p>
        </w:tc>
        <w:tc>
          <w:tcPr>
            <w:tcW w:w="1260" w:type="dxa"/>
            <w:shd w:val="clear" w:color="auto" w:fill="auto"/>
          </w:tcPr>
          <w:p w:rsidR="009E024C" w:rsidRPr="009E024C" w:rsidRDefault="000E329C" w:rsidP="009E024C">
            <w:pPr>
              <w:tabs>
                <w:tab w:val="left" w:pos="1301"/>
              </w:tabs>
              <w:spacing w:before="120" w:after="0" w:line="240" w:lineRule="auto"/>
              <w:ind w:right="42"/>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137.667</w:t>
            </w:r>
          </w:p>
        </w:tc>
        <w:tc>
          <w:tcPr>
            <w:tcW w:w="1261" w:type="dxa"/>
            <w:shd w:val="clear" w:color="auto" w:fill="auto"/>
          </w:tcPr>
          <w:p w:rsidR="009E024C" w:rsidRPr="009E024C" w:rsidRDefault="000E329C" w:rsidP="000E329C">
            <w:pPr>
              <w:spacing w:before="120" w:after="0" w:line="240" w:lineRule="auto"/>
              <w:ind w:right="176"/>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16</w:t>
            </w:r>
            <w:r w:rsidR="009E024C" w:rsidRPr="009E024C">
              <w:rPr>
                <w:rFonts w:ascii="Times New Roman" w:eastAsia="Times New Roman" w:hAnsi="Times New Roman" w:cs="Times New Roman"/>
                <w:sz w:val="24"/>
                <w:szCs w:val="24"/>
                <w:lang w:eastAsia="hr-HR"/>
              </w:rPr>
              <w:t>9,</w:t>
            </w:r>
            <w:r>
              <w:rPr>
                <w:rFonts w:ascii="Times New Roman" w:eastAsia="Times New Roman" w:hAnsi="Times New Roman" w:cs="Times New Roman"/>
                <w:sz w:val="24"/>
                <w:szCs w:val="24"/>
                <w:lang w:eastAsia="hr-HR"/>
              </w:rPr>
              <w:t>51</w:t>
            </w:r>
          </w:p>
        </w:tc>
      </w:tr>
    </w:tbl>
    <w:p w:rsidR="009E024C" w:rsidRPr="009E024C" w:rsidRDefault="009E024C" w:rsidP="009E024C">
      <w:pPr>
        <w:tabs>
          <w:tab w:val="left" w:pos="851"/>
        </w:tabs>
        <w:spacing w:after="0" w:line="240" w:lineRule="auto"/>
        <w:ind w:right="374"/>
        <w:jc w:val="both"/>
        <w:rPr>
          <w:rFonts w:ascii="Times New Roman" w:eastAsia="Times New Roman" w:hAnsi="Times New Roman" w:cs="Times New Roman"/>
          <w:b/>
          <w:sz w:val="24"/>
          <w:szCs w:val="24"/>
          <w:lang w:eastAsia="hr-HR"/>
        </w:rPr>
      </w:pPr>
    </w:p>
    <w:p w:rsidR="009E024C" w:rsidRPr="009E024C" w:rsidRDefault="009E024C" w:rsidP="008E3300">
      <w:pPr>
        <w:spacing w:before="60" w:after="0" w:line="240" w:lineRule="auto"/>
        <w:ind w:right="232" w:firstLine="708"/>
        <w:jc w:val="both"/>
        <w:rPr>
          <w:rFonts w:ascii="Times New Roman" w:eastAsia="Times New Roman" w:hAnsi="Times New Roman" w:cs="Times New Roman"/>
          <w:color w:val="000000"/>
          <w:sz w:val="24"/>
          <w:szCs w:val="24"/>
          <w:shd w:val="clear" w:color="auto" w:fill="FFFFFF"/>
          <w:lang w:eastAsia="hr-HR"/>
        </w:rPr>
      </w:pPr>
      <w:r w:rsidRPr="009E024C">
        <w:rPr>
          <w:rFonts w:ascii="Times New Roman" w:eastAsia="Times New Roman" w:hAnsi="Times New Roman" w:cs="Times New Roman"/>
          <w:sz w:val="24"/>
          <w:szCs w:val="24"/>
          <w:lang w:eastAsia="hr-HR"/>
        </w:rPr>
        <w:t>Klinički bolnički centar Sestre milosrdnice je duži niz godina uključen u Preventivne aktivnosti u okviru provedbe Nacionalnog akcijskog plana suzbijanja zlouporabe droga u Republici Hrvatskoj, a obuhvaća savjetovanje, liječenje, prevenciju/promociju i edukaciju stručnjaka, te evaluaciju rada Centara za mentalno zdravlje, a od kraja prošle godine uključen je i u Nacionalni preventivni program za rano otkrivanje melanoma koji obuhvaća javnozdravstvene akcije na terenu, uključivo i izvođenje operativnih zahvata.</w:t>
      </w:r>
      <w:r w:rsidRPr="009E024C">
        <w:rPr>
          <w:rFonts w:ascii="Times New Roman" w:eastAsia="Times New Roman" w:hAnsi="Times New Roman" w:cs="Times New Roman"/>
          <w:color w:val="000000"/>
          <w:sz w:val="24"/>
          <w:szCs w:val="24"/>
          <w:lang w:eastAsia="hr-HR"/>
        </w:rPr>
        <w:t xml:space="preserve"> S</w:t>
      </w:r>
      <w:r w:rsidRPr="009E024C">
        <w:rPr>
          <w:rFonts w:ascii="Times New Roman" w:eastAsia="Times New Roman" w:hAnsi="Times New Roman" w:cs="Times New Roman"/>
          <w:color w:val="000000"/>
          <w:sz w:val="24"/>
          <w:szCs w:val="24"/>
          <w:shd w:val="clear" w:color="auto" w:fill="FFFFFF"/>
          <w:lang w:eastAsia="hr-HR"/>
        </w:rPr>
        <w:t xml:space="preserve">vrha navedenog programa je edukacija liječnika, građana, te đaka u školama, kao i rano otkrivanje i liječenje zloćudnih kožnih tumora organiziranjem pregleda na terenu, a time i smanjenja stope smrtnosti u Hrvatskoj. </w:t>
      </w:r>
    </w:p>
    <w:p w:rsidR="009E024C" w:rsidRDefault="009E024C" w:rsidP="009E024C">
      <w:pPr>
        <w:tabs>
          <w:tab w:val="left" w:pos="851"/>
        </w:tabs>
        <w:spacing w:after="0" w:line="240" w:lineRule="auto"/>
        <w:ind w:left="709" w:right="-52"/>
        <w:jc w:val="both"/>
        <w:rPr>
          <w:rFonts w:ascii="Times New Roman" w:eastAsia="Times New Roman" w:hAnsi="Times New Roman" w:cs="Times New Roman"/>
          <w:sz w:val="24"/>
          <w:szCs w:val="24"/>
          <w:lang w:eastAsia="hr-HR"/>
        </w:rPr>
      </w:pPr>
    </w:p>
    <w:p w:rsidR="009E024C" w:rsidRPr="009E024C" w:rsidRDefault="009E024C" w:rsidP="008E3300">
      <w:pPr>
        <w:tabs>
          <w:tab w:val="left" w:pos="851"/>
        </w:tabs>
        <w:spacing w:after="0" w:line="240" w:lineRule="auto"/>
        <w:ind w:right="374"/>
        <w:jc w:val="both"/>
        <w:rPr>
          <w:rFonts w:ascii="Times New Roman" w:eastAsia="Times New Roman" w:hAnsi="Times New Roman" w:cs="Times New Roman"/>
          <w:b/>
          <w:sz w:val="24"/>
          <w:szCs w:val="24"/>
          <w:lang w:eastAsia="hr-HR"/>
        </w:rPr>
      </w:pPr>
      <w:r w:rsidRPr="009E024C">
        <w:rPr>
          <w:rFonts w:ascii="Times New Roman" w:eastAsia="Times New Roman" w:hAnsi="Times New Roman" w:cs="Times New Roman"/>
          <w:b/>
          <w:sz w:val="24"/>
          <w:szCs w:val="24"/>
          <w:lang w:eastAsia="hr-HR"/>
        </w:rPr>
        <w:lastRenderedPageBreak/>
        <w:t xml:space="preserve">Prikaz i obrazloženje izračuna financijskih sredstava </w:t>
      </w:r>
    </w:p>
    <w:p w:rsidR="009E024C" w:rsidRPr="009E024C" w:rsidRDefault="008E3300" w:rsidP="008E3300">
      <w:pPr>
        <w:tabs>
          <w:tab w:val="left" w:pos="851"/>
        </w:tabs>
        <w:spacing w:before="120" w:after="0" w:line="240" w:lineRule="auto"/>
        <w:ind w:right="-52"/>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9E024C" w:rsidRPr="009E024C">
        <w:rPr>
          <w:rFonts w:ascii="Times New Roman" w:eastAsia="Times New Roman" w:hAnsi="Times New Roman" w:cs="Times New Roman"/>
          <w:sz w:val="24"/>
          <w:szCs w:val="24"/>
          <w:lang w:eastAsia="hr-HR"/>
        </w:rPr>
        <w:t xml:space="preserve">Za aktivnost suzbijanja zlouporabe droga planiran je iznos od </w:t>
      </w:r>
      <w:r w:rsidR="0009225B">
        <w:rPr>
          <w:rFonts w:ascii="Times New Roman" w:eastAsia="Times New Roman" w:hAnsi="Times New Roman" w:cs="Times New Roman"/>
          <w:sz w:val="24"/>
          <w:szCs w:val="24"/>
          <w:lang w:eastAsia="hr-HR"/>
        </w:rPr>
        <w:t>39.818</w:t>
      </w:r>
      <w:r w:rsidR="009E024C" w:rsidRPr="009E024C">
        <w:rPr>
          <w:rFonts w:ascii="Times New Roman" w:eastAsia="Times New Roman" w:hAnsi="Times New Roman" w:cs="Times New Roman"/>
          <w:sz w:val="24"/>
          <w:szCs w:val="24"/>
          <w:lang w:eastAsia="hr-HR"/>
        </w:rPr>
        <w:t xml:space="preserve"> eura za 2024. i 2025. godinu, dok je za 2026. godinu planiran iznos od </w:t>
      </w:r>
      <w:r w:rsidR="0009225B">
        <w:rPr>
          <w:rFonts w:ascii="Times New Roman" w:eastAsia="Times New Roman" w:hAnsi="Times New Roman" w:cs="Times New Roman"/>
          <w:sz w:val="24"/>
          <w:szCs w:val="24"/>
          <w:lang w:eastAsia="hr-HR"/>
        </w:rPr>
        <w:t>46.667</w:t>
      </w:r>
      <w:r w:rsidR="009E024C" w:rsidRPr="009E024C">
        <w:rPr>
          <w:rFonts w:ascii="Times New Roman" w:eastAsia="Times New Roman" w:hAnsi="Times New Roman" w:cs="Times New Roman"/>
          <w:sz w:val="24"/>
          <w:szCs w:val="24"/>
          <w:lang w:eastAsia="hr-HR"/>
        </w:rPr>
        <w:t xml:space="preserve"> eura. Pri tome je za lijekove i test trake na droge planiran iznos od </w:t>
      </w:r>
      <w:r w:rsidR="0009225B">
        <w:rPr>
          <w:rFonts w:ascii="Times New Roman" w:eastAsia="Times New Roman" w:hAnsi="Times New Roman" w:cs="Times New Roman"/>
          <w:sz w:val="24"/>
          <w:szCs w:val="24"/>
          <w:lang w:eastAsia="hr-HR"/>
        </w:rPr>
        <w:t>29.863</w:t>
      </w:r>
      <w:r w:rsidR="009E024C" w:rsidRPr="009E024C">
        <w:rPr>
          <w:rFonts w:ascii="Times New Roman" w:eastAsia="Times New Roman" w:hAnsi="Times New Roman" w:cs="Times New Roman"/>
          <w:sz w:val="24"/>
          <w:szCs w:val="24"/>
          <w:lang w:eastAsia="hr-HR"/>
        </w:rPr>
        <w:t xml:space="preserve"> eura u 2024. i 2025. godini, te iznos od </w:t>
      </w:r>
      <w:r w:rsidR="0009225B">
        <w:rPr>
          <w:rFonts w:ascii="Times New Roman" w:eastAsia="Times New Roman" w:hAnsi="Times New Roman" w:cs="Times New Roman"/>
          <w:sz w:val="24"/>
          <w:szCs w:val="24"/>
          <w:lang w:eastAsia="hr-HR"/>
        </w:rPr>
        <w:t>33.334</w:t>
      </w:r>
      <w:r w:rsidR="009E024C" w:rsidRPr="009E024C">
        <w:rPr>
          <w:rFonts w:ascii="Times New Roman" w:eastAsia="Times New Roman" w:hAnsi="Times New Roman" w:cs="Times New Roman"/>
          <w:sz w:val="24"/>
          <w:szCs w:val="24"/>
          <w:lang w:eastAsia="hr-HR"/>
        </w:rPr>
        <w:t xml:space="preserve"> eura u 2026. godini, za intelektualne usluge </w:t>
      </w:r>
      <w:r w:rsidR="0009225B">
        <w:rPr>
          <w:rFonts w:ascii="Times New Roman" w:eastAsia="Times New Roman" w:hAnsi="Times New Roman" w:cs="Times New Roman"/>
          <w:sz w:val="24"/>
          <w:szCs w:val="24"/>
          <w:lang w:eastAsia="hr-HR"/>
        </w:rPr>
        <w:t>3.982</w:t>
      </w:r>
      <w:r w:rsidR="009E024C" w:rsidRPr="009E024C">
        <w:rPr>
          <w:rFonts w:ascii="Times New Roman" w:eastAsia="Times New Roman" w:hAnsi="Times New Roman" w:cs="Times New Roman"/>
          <w:sz w:val="24"/>
          <w:szCs w:val="24"/>
          <w:lang w:eastAsia="hr-HR"/>
        </w:rPr>
        <w:t xml:space="preserve"> eura</w:t>
      </w:r>
      <w:r w:rsidR="0009225B">
        <w:rPr>
          <w:rFonts w:ascii="Times New Roman" w:eastAsia="Times New Roman" w:hAnsi="Times New Roman" w:cs="Times New Roman"/>
          <w:sz w:val="24"/>
          <w:szCs w:val="24"/>
          <w:lang w:eastAsia="hr-HR"/>
        </w:rPr>
        <w:t xml:space="preserve"> u 2024. i 2025. godini, te iznos od 4.000 eura u 2026. godini</w:t>
      </w:r>
      <w:r w:rsidR="009E024C" w:rsidRPr="009E024C">
        <w:rPr>
          <w:rFonts w:ascii="Times New Roman" w:eastAsia="Times New Roman" w:hAnsi="Times New Roman" w:cs="Times New Roman"/>
          <w:sz w:val="24"/>
          <w:szCs w:val="24"/>
          <w:lang w:eastAsia="hr-HR"/>
        </w:rPr>
        <w:t>, za sitni inventar za potrebe rada Centra 2.3</w:t>
      </w:r>
      <w:r w:rsidR="0009225B">
        <w:rPr>
          <w:rFonts w:ascii="Times New Roman" w:eastAsia="Times New Roman" w:hAnsi="Times New Roman" w:cs="Times New Roman"/>
          <w:sz w:val="24"/>
          <w:szCs w:val="24"/>
          <w:lang w:eastAsia="hr-HR"/>
        </w:rPr>
        <w:t>18</w:t>
      </w:r>
      <w:r w:rsidR="009E024C" w:rsidRPr="009E024C">
        <w:rPr>
          <w:rFonts w:ascii="Times New Roman" w:eastAsia="Times New Roman" w:hAnsi="Times New Roman" w:cs="Times New Roman"/>
          <w:sz w:val="24"/>
          <w:szCs w:val="24"/>
          <w:lang w:eastAsia="hr-HR"/>
        </w:rPr>
        <w:t xml:space="preserve"> eura</w:t>
      </w:r>
      <w:r w:rsidR="002C1EF0">
        <w:rPr>
          <w:rFonts w:ascii="Times New Roman" w:eastAsia="Times New Roman" w:hAnsi="Times New Roman" w:cs="Times New Roman"/>
          <w:sz w:val="24"/>
          <w:szCs w:val="24"/>
          <w:lang w:eastAsia="hr-HR"/>
        </w:rPr>
        <w:t xml:space="preserve"> u 2024. i 2025. godini te iznos od 2.833 eura u 2026. godini,</w:t>
      </w:r>
      <w:r w:rsidR="009E024C" w:rsidRPr="009E024C">
        <w:rPr>
          <w:rFonts w:ascii="Times New Roman" w:eastAsia="Times New Roman" w:hAnsi="Times New Roman" w:cs="Times New Roman"/>
          <w:sz w:val="24"/>
          <w:szCs w:val="24"/>
          <w:lang w:eastAsia="hr-HR"/>
        </w:rPr>
        <w:t xml:space="preserve"> za uredski materijal </w:t>
      </w:r>
      <w:r w:rsidR="0009225B">
        <w:rPr>
          <w:rFonts w:ascii="Times New Roman" w:eastAsia="Times New Roman" w:hAnsi="Times New Roman" w:cs="Times New Roman"/>
          <w:sz w:val="24"/>
          <w:szCs w:val="24"/>
          <w:lang w:eastAsia="hr-HR"/>
        </w:rPr>
        <w:t>1.327</w:t>
      </w:r>
      <w:r w:rsidR="009E024C" w:rsidRPr="009E024C">
        <w:rPr>
          <w:rFonts w:ascii="Times New Roman" w:eastAsia="Times New Roman" w:hAnsi="Times New Roman" w:cs="Times New Roman"/>
          <w:sz w:val="24"/>
          <w:szCs w:val="24"/>
          <w:lang w:eastAsia="hr-HR"/>
        </w:rPr>
        <w:t xml:space="preserve"> eura</w:t>
      </w:r>
      <w:r w:rsidR="0009225B">
        <w:rPr>
          <w:rFonts w:ascii="Times New Roman" w:eastAsia="Times New Roman" w:hAnsi="Times New Roman" w:cs="Times New Roman"/>
          <w:sz w:val="24"/>
          <w:szCs w:val="24"/>
          <w:lang w:eastAsia="hr-HR"/>
        </w:rPr>
        <w:t xml:space="preserve"> u 2024. i 2025. godini</w:t>
      </w:r>
      <w:r w:rsidR="002C1EF0">
        <w:rPr>
          <w:rFonts w:ascii="Times New Roman" w:eastAsia="Times New Roman" w:hAnsi="Times New Roman" w:cs="Times New Roman"/>
          <w:sz w:val="24"/>
          <w:szCs w:val="24"/>
          <w:lang w:eastAsia="hr-HR"/>
        </w:rPr>
        <w:t>, te iznos od 2.667</w:t>
      </w:r>
      <w:r w:rsidR="005555E4">
        <w:rPr>
          <w:rFonts w:ascii="Times New Roman" w:eastAsia="Times New Roman" w:hAnsi="Times New Roman" w:cs="Times New Roman"/>
          <w:sz w:val="24"/>
          <w:szCs w:val="24"/>
          <w:lang w:eastAsia="hr-HR"/>
        </w:rPr>
        <w:t xml:space="preserve"> eura u 2026. godini</w:t>
      </w:r>
      <w:r w:rsidR="009E024C" w:rsidRPr="009E024C">
        <w:rPr>
          <w:rFonts w:ascii="Times New Roman" w:eastAsia="Times New Roman" w:hAnsi="Times New Roman" w:cs="Times New Roman"/>
          <w:sz w:val="24"/>
          <w:szCs w:val="24"/>
          <w:lang w:eastAsia="hr-HR"/>
        </w:rPr>
        <w:t xml:space="preserve">, za usluge tekućeg i investicijskog održavanja </w:t>
      </w:r>
      <w:r w:rsidR="0009225B">
        <w:rPr>
          <w:rFonts w:ascii="Times New Roman" w:eastAsia="Times New Roman" w:hAnsi="Times New Roman" w:cs="Times New Roman"/>
          <w:sz w:val="24"/>
          <w:szCs w:val="24"/>
          <w:lang w:eastAsia="hr-HR"/>
        </w:rPr>
        <w:t>664 eura</w:t>
      </w:r>
      <w:r w:rsidR="005555E4">
        <w:rPr>
          <w:rFonts w:ascii="Times New Roman" w:eastAsia="Times New Roman" w:hAnsi="Times New Roman" w:cs="Times New Roman"/>
          <w:sz w:val="24"/>
          <w:szCs w:val="24"/>
          <w:lang w:eastAsia="hr-HR"/>
        </w:rPr>
        <w:t xml:space="preserve"> u 2024. i 2025. godini</w:t>
      </w:r>
      <w:r w:rsidR="0009225B">
        <w:rPr>
          <w:rFonts w:ascii="Times New Roman" w:eastAsia="Times New Roman" w:hAnsi="Times New Roman" w:cs="Times New Roman"/>
          <w:sz w:val="24"/>
          <w:szCs w:val="24"/>
          <w:lang w:eastAsia="hr-HR"/>
        </w:rPr>
        <w:t>,</w:t>
      </w:r>
      <w:r w:rsidR="005555E4">
        <w:rPr>
          <w:rFonts w:ascii="Times New Roman" w:eastAsia="Times New Roman" w:hAnsi="Times New Roman" w:cs="Times New Roman"/>
          <w:sz w:val="24"/>
          <w:szCs w:val="24"/>
          <w:lang w:eastAsia="hr-HR"/>
        </w:rPr>
        <w:t xml:space="preserve"> te iznos od 1.500 eura u 2026. godini,</w:t>
      </w:r>
      <w:r w:rsidR="0009225B">
        <w:rPr>
          <w:rFonts w:ascii="Times New Roman" w:eastAsia="Times New Roman" w:hAnsi="Times New Roman" w:cs="Times New Roman"/>
          <w:sz w:val="24"/>
          <w:szCs w:val="24"/>
          <w:lang w:eastAsia="hr-HR"/>
        </w:rPr>
        <w:t xml:space="preserve"> za službena putovanja 664</w:t>
      </w:r>
      <w:r w:rsidR="009E024C" w:rsidRPr="009E024C">
        <w:rPr>
          <w:rFonts w:ascii="Times New Roman" w:eastAsia="Times New Roman" w:hAnsi="Times New Roman" w:cs="Times New Roman"/>
          <w:sz w:val="24"/>
          <w:szCs w:val="24"/>
          <w:lang w:eastAsia="hr-HR"/>
        </w:rPr>
        <w:t xml:space="preserve"> eura</w:t>
      </w:r>
      <w:r w:rsidR="005555E4">
        <w:rPr>
          <w:rFonts w:ascii="Times New Roman" w:eastAsia="Times New Roman" w:hAnsi="Times New Roman" w:cs="Times New Roman"/>
          <w:sz w:val="24"/>
          <w:szCs w:val="24"/>
          <w:lang w:eastAsia="hr-HR"/>
        </w:rPr>
        <w:t xml:space="preserve"> u 2024. i 2025. godini</w:t>
      </w:r>
      <w:r w:rsidR="009E024C" w:rsidRPr="009E024C">
        <w:rPr>
          <w:rFonts w:ascii="Times New Roman" w:eastAsia="Times New Roman" w:hAnsi="Times New Roman" w:cs="Times New Roman"/>
          <w:sz w:val="24"/>
          <w:szCs w:val="24"/>
          <w:lang w:eastAsia="hr-HR"/>
        </w:rPr>
        <w:t>,</w:t>
      </w:r>
      <w:r w:rsidR="005555E4">
        <w:rPr>
          <w:rFonts w:ascii="Times New Roman" w:eastAsia="Times New Roman" w:hAnsi="Times New Roman" w:cs="Times New Roman"/>
          <w:sz w:val="24"/>
          <w:szCs w:val="24"/>
          <w:lang w:eastAsia="hr-HR"/>
        </w:rPr>
        <w:t xml:space="preserve"> te 1.333 eura u 2026. godini</w:t>
      </w:r>
      <w:r w:rsidR="00165767">
        <w:rPr>
          <w:rFonts w:ascii="Times New Roman" w:eastAsia="Times New Roman" w:hAnsi="Times New Roman" w:cs="Times New Roman"/>
          <w:sz w:val="24"/>
          <w:szCs w:val="24"/>
          <w:lang w:eastAsia="hr-HR"/>
        </w:rPr>
        <w:t>,</w:t>
      </w:r>
      <w:r w:rsidR="009E024C" w:rsidRPr="009E024C">
        <w:rPr>
          <w:rFonts w:ascii="Times New Roman" w:eastAsia="Times New Roman" w:hAnsi="Times New Roman" w:cs="Times New Roman"/>
          <w:sz w:val="24"/>
          <w:szCs w:val="24"/>
          <w:lang w:eastAsia="hr-HR"/>
        </w:rPr>
        <w:t xml:space="preserve"> te za opremanje prostora 1.000 eura kroz sve tri</w:t>
      </w:r>
      <w:r w:rsidR="002C1EF0">
        <w:rPr>
          <w:rFonts w:ascii="Times New Roman" w:eastAsia="Times New Roman" w:hAnsi="Times New Roman" w:cs="Times New Roman"/>
          <w:sz w:val="24"/>
          <w:szCs w:val="24"/>
          <w:lang w:eastAsia="hr-HR"/>
        </w:rPr>
        <w:t xml:space="preserve"> </w:t>
      </w:r>
      <w:r w:rsidR="009E024C" w:rsidRPr="009E024C">
        <w:rPr>
          <w:rFonts w:ascii="Times New Roman" w:eastAsia="Times New Roman" w:hAnsi="Times New Roman" w:cs="Times New Roman"/>
          <w:sz w:val="24"/>
          <w:szCs w:val="24"/>
          <w:lang w:eastAsia="hr-HR"/>
        </w:rPr>
        <w:t>godine. U rad Centra uključeno je 5 stručnjaka zaposlenih na Klinici za psihijatriju, a kroz godinu prosječno je obuhvaćeno 750 korisnika.</w:t>
      </w:r>
    </w:p>
    <w:p w:rsidR="008E3300" w:rsidRDefault="008E3300" w:rsidP="008E3300">
      <w:pPr>
        <w:tabs>
          <w:tab w:val="left" w:pos="851"/>
        </w:tabs>
        <w:spacing w:before="120" w:after="0" w:line="240" w:lineRule="auto"/>
        <w:ind w:right="-52"/>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9E024C" w:rsidRPr="009E024C">
        <w:rPr>
          <w:rFonts w:ascii="Times New Roman" w:eastAsia="Times New Roman" w:hAnsi="Times New Roman" w:cs="Times New Roman"/>
          <w:sz w:val="24"/>
          <w:szCs w:val="24"/>
          <w:lang w:eastAsia="hr-HR"/>
        </w:rPr>
        <w:t xml:space="preserve">Za aktivnost ranog otkrivanja melanoma planiran je iznos od </w:t>
      </w:r>
      <w:r w:rsidR="005555E4">
        <w:rPr>
          <w:rFonts w:ascii="Times New Roman" w:eastAsia="Times New Roman" w:hAnsi="Times New Roman" w:cs="Times New Roman"/>
          <w:sz w:val="24"/>
          <w:szCs w:val="24"/>
          <w:lang w:eastAsia="hr-HR"/>
        </w:rPr>
        <w:t>106.500</w:t>
      </w:r>
      <w:r w:rsidR="009E024C" w:rsidRPr="009E024C">
        <w:rPr>
          <w:rFonts w:ascii="Times New Roman" w:eastAsia="Times New Roman" w:hAnsi="Times New Roman" w:cs="Times New Roman"/>
          <w:sz w:val="24"/>
          <w:szCs w:val="24"/>
          <w:lang w:eastAsia="hr-HR"/>
        </w:rPr>
        <w:t xml:space="preserve"> eura za </w:t>
      </w:r>
      <w:r w:rsidR="00402D5F">
        <w:rPr>
          <w:rFonts w:ascii="Times New Roman" w:eastAsia="Times New Roman" w:hAnsi="Times New Roman" w:cs="Times New Roman"/>
          <w:sz w:val="24"/>
          <w:szCs w:val="24"/>
          <w:lang w:eastAsia="hr-HR"/>
        </w:rPr>
        <w:t>2024.</w:t>
      </w:r>
      <w:r w:rsidR="005555E4">
        <w:rPr>
          <w:rFonts w:ascii="Times New Roman" w:eastAsia="Times New Roman" w:hAnsi="Times New Roman" w:cs="Times New Roman"/>
          <w:sz w:val="24"/>
          <w:szCs w:val="24"/>
          <w:lang w:eastAsia="hr-HR"/>
        </w:rPr>
        <w:t xml:space="preserve"> godinu,</w:t>
      </w:r>
      <w:r w:rsidR="00402D5F">
        <w:rPr>
          <w:rFonts w:ascii="Times New Roman" w:eastAsia="Times New Roman" w:hAnsi="Times New Roman" w:cs="Times New Roman"/>
          <w:sz w:val="24"/>
          <w:szCs w:val="24"/>
          <w:lang w:eastAsia="hr-HR"/>
        </w:rPr>
        <w:t xml:space="preserve"> </w:t>
      </w:r>
      <w:r w:rsidR="005555E4">
        <w:rPr>
          <w:rFonts w:ascii="Times New Roman" w:eastAsia="Times New Roman" w:hAnsi="Times New Roman" w:cs="Times New Roman"/>
          <w:sz w:val="24"/>
          <w:szCs w:val="24"/>
          <w:lang w:eastAsia="hr-HR"/>
        </w:rPr>
        <w:t xml:space="preserve">76.500 eura za </w:t>
      </w:r>
      <w:r w:rsidR="00402D5F">
        <w:rPr>
          <w:rFonts w:ascii="Times New Roman" w:eastAsia="Times New Roman" w:hAnsi="Times New Roman" w:cs="Times New Roman"/>
          <w:sz w:val="24"/>
          <w:szCs w:val="24"/>
          <w:lang w:eastAsia="hr-HR"/>
        </w:rPr>
        <w:t>2025. godinu, te 91.000 eura za 2026. godinu</w:t>
      </w:r>
      <w:r w:rsidR="009E024C" w:rsidRPr="009E024C">
        <w:rPr>
          <w:rFonts w:ascii="Times New Roman" w:eastAsia="Times New Roman" w:hAnsi="Times New Roman" w:cs="Times New Roman"/>
          <w:sz w:val="24"/>
          <w:szCs w:val="24"/>
          <w:lang w:eastAsia="hr-HR"/>
        </w:rPr>
        <w:t xml:space="preserve">. Za organizaciju javnozdravstvenih akcija u gradovima Republike Hrvatske (službena putovanja) planiran je iznos od </w:t>
      </w:r>
      <w:r w:rsidR="005555E4">
        <w:rPr>
          <w:rFonts w:ascii="Times New Roman" w:eastAsia="Times New Roman" w:hAnsi="Times New Roman" w:cs="Times New Roman"/>
          <w:sz w:val="24"/>
          <w:szCs w:val="24"/>
          <w:lang w:eastAsia="hr-HR"/>
        </w:rPr>
        <w:t>60.000</w:t>
      </w:r>
      <w:r w:rsidR="009E024C" w:rsidRPr="009E024C">
        <w:rPr>
          <w:rFonts w:ascii="Times New Roman" w:eastAsia="Times New Roman" w:hAnsi="Times New Roman" w:cs="Times New Roman"/>
          <w:sz w:val="24"/>
          <w:szCs w:val="24"/>
          <w:lang w:eastAsia="hr-HR"/>
        </w:rPr>
        <w:t xml:space="preserve"> eura</w:t>
      </w:r>
      <w:r w:rsidR="00402D5F">
        <w:rPr>
          <w:rFonts w:ascii="Times New Roman" w:eastAsia="Times New Roman" w:hAnsi="Times New Roman" w:cs="Times New Roman"/>
          <w:sz w:val="24"/>
          <w:szCs w:val="24"/>
          <w:lang w:eastAsia="hr-HR"/>
        </w:rPr>
        <w:t xml:space="preserve"> u 2024.</w:t>
      </w:r>
      <w:r w:rsidR="005555E4">
        <w:rPr>
          <w:rFonts w:ascii="Times New Roman" w:eastAsia="Times New Roman" w:hAnsi="Times New Roman" w:cs="Times New Roman"/>
          <w:sz w:val="24"/>
          <w:szCs w:val="24"/>
          <w:lang w:eastAsia="hr-HR"/>
        </w:rPr>
        <w:t>, 37.500 eura u 2025.</w:t>
      </w:r>
      <w:r w:rsidR="00402D5F">
        <w:rPr>
          <w:rFonts w:ascii="Times New Roman" w:eastAsia="Times New Roman" w:hAnsi="Times New Roman" w:cs="Times New Roman"/>
          <w:sz w:val="24"/>
          <w:szCs w:val="24"/>
          <w:lang w:eastAsia="hr-HR"/>
        </w:rPr>
        <w:t xml:space="preserve"> te 50.000 eura u 2026. godini</w:t>
      </w:r>
      <w:r w:rsidR="009E024C" w:rsidRPr="009E024C">
        <w:rPr>
          <w:rFonts w:ascii="Times New Roman" w:eastAsia="Times New Roman" w:hAnsi="Times New Roman" w:cs="Times New Roman"/>
          <w:sz w:val="24"/>
          <w:szCs w:val="24"/>
          <w:lang w:eastAsia="hr-HR"/>
        </w:rPr>
        <w:t xml:space="preserve">, za organizaciju edukacija dermatoskopije za provoditelje javnozdravstvenih akcija (honorar edukatora) planiran je iznos od </w:t>
      </w:r>
      <w:r w:rsidR="005555E4">
        <w:rPr>
          <w:rFonts w:ascii="Times New Roman" w:eastAsia="Times New Roman" w:hAnsi="Times New Roman" w:cs="Times New Roman"/>
          <w:sz w:val="24"/>
          <w:szCs w:val="24"/>
          <w:lang w:eastAsia="hr-HR"/>
        </w:rPr>
        <w:t xml:space="preserve">20.500 eura u 2024. te </w:t>
      </w:r>
      <w:r w:rsidR="009E024C" w:rsidRPr="009E024C">
        <w:rPr>
          <w:rFonts w:ascii="Times New Roman" w:eastAsia="Times New Roman" w:hAnsi="Times New Roman" w:cs="Times New Roman"/>
          <w:sz w:val="24"/>
          <w:szCs w:val="24"/>
          <w:lang w:eastAsia="hr-HR"/>
        </w:rPr>
        <w:t>15.000 eura</w:t>
      </w:r>
      <w:r w:rsidR="00402D5F">
        <w:rPr>
          <w:rFonts w:ascii="Times New Roman" w:eastAsia="Times New Roman" w:hAnsi="Times New Roman" w:cs="Times New Roman"/>
          <w:sz w:val="24"/>
          <w:szCs w:val="24"/>
          <w:lang w:eastAsia="hr-HR"/>
        </w:rPr>
        <w:t xml:space="preserve"> </w:t>
      </w:r>
      <w:r w:rsidR="005555E4">
        <w:rPr>
          <w:rFonts w:ascii="Times New Roman" w:eastAsia="Times New Roman" w:hAnsi="Times New Roman" w:cs="Times New Roman"/>
          <w:sz w:val="24"/>
          <w:szCs w:val="24"/>
          <w:lang w:eastAsia="hr-HR"/>
        </w:rPr>
        <w:t>u 2025. i 2026. godini,</w:t>
      </w:r>
      <w:r w:rsidR="009E024C" w:rsidRPr="009E024C">
        <w:rPr>
          <w:rFonts w:ascii="Times New Roman" w:eastAsia="Times New Roman" w:hAnsi="Times New Roman" w:cs="Times New Roman"/>
          <w:sz w:val="24"/>
          <w:szCs w:val="24"/>
          <w:lang w:eastAsia="hr-HR"/>
        </w:rPr>
        <w:t xml:space="preserve"> za nabavu sanitetskog materijala, dezinficijensa</w:t>
      </w:r>
      <w:r w:rsidR="00C646E1">
        <w:rPr>
          <w:rFonts w:ascii="Times New Roman" w:eastAsia="Times New Roman" w:hAnsi="Times New Roman" w:cs="Times New Roman"/>
          <w:sz w:val="24"/>
          <w:szCs w:val="24"/>
          <w:lang w:eastAsia="hr-HR"/>
        </w:rPr>
        <w:t>,</w:t>
      </w:r>
      <w:r w:rsidR="009E024C" w:rsidRPr="009E024C">
        <w:rPr>
          <w:rFonts w:ascii="Times New Roman" w:eastAsia="Times New Roman" w:hAnsi="Times New Roman" w:cs="Times New Roman"/>
          <w:sz w:val="24"/>
          <w:szCs w:val="24"/>
          <w:lang w:eastAsia="hr-HR"/>
        </w:rPr>
        <w:t xml:space="preserve"> anestetika, kirurških konaca, formalina, antišok terapije i sl. za potrebe izvođenja operativnih zahvata na terenu iznos od 8.000 eura</w:t>
      </w:r>
      <w:r w:rsidR="00402D5F">
        <w:rPr>
          <w:rFonts w:ascii="Times New Roman" w:eastAsia="Times New Roman" w:hAnsi="Times New Roman" w:cs="Times New Roman"/>
          <w:sz w:val="24"/>
          <w:szCs w:val="24"/>
          <w:lang w:eastAsia="hr-HR"/>
        </w:rPr>
        <w:t xml:space="preserve"> kroz sve tri planske godine</w:t>
      </w:r>
      <w:r w:rsidR="009E024C" w:rsidRPr="009E024C">
        <w:rPr>
          <w:rFonts w:ascii="Times New Roman" w:eastAsia="Times New Roman" w:hAnsi="Times New Roman" w:cs="Times New Roman"/>
          <w:sz w:val="24"/>
          <w:szCs w:val="24"/>
          <w:lang w:eastAsia="hr-HR"/>
        </w:rPr>
        <w:t xml:space="preserve">, za osmišljavanje, izradu dizajna i tisak edukativnih i promotivnih materijala za liječnike i građane, te izradu nastavnog materijala za edukaciju đaka u školama planiran je iznos od </w:t>
      </w:r>
      <w:r w:rsidR="00402D5F">
        <w:rPr>
          <w:rFonts w:ascii="Times New Roman" w:eastAsia="Times New Roman" w:hAnsi="Times New Roman" w:cs="Times New Roman"/>
          <w:sz w:val="24"/>
          <w:szCs w:val="24"/>
          <w:lang w:eastAsia="hr-HR"/>
        </w:rPr>
        <w:t>1</w:t>
      </w:r>
      <w:r w:rsidR="005555E4">
        <w:rPr>
          <w:rFonts w:ascii="Times New Roman" w:eastAsia="Times New Roman" w:hAnsi="Times New Roman" w:cs="Times New Roman"/>
          <w:sz w:val="24"/>
          <w:szCs w:val="24"/>
          <w:lang w:eastAsia="hr-HR"/>
        </w:rPr>
        <w:t>2</w:t>
      </w:r>
      <w:r w:rsidR="009E024C" w:rsidRPr="009E024C">
        <w:rPr>
          <w:rFonts w:ascii="Times New Roman" w:eastAsia="Times New Roman" w:hAnsi="Times New Roman" w:cs="Times New Roman"/>
          <w:sz w:val="24"/>
          <w:szCs w:val="24"/>
          <w:lang w:eastAsia="hr-HR"/>
        </w:rPr>
        <w:t>.000 eura</w:t>
      </w:r>
      <w:r w:rsidR="00402D5F">
        <w:rPr>
          <w:rFonts w:ascii="Times New Roman" w:eastAsia="Times New Roman" w:hAnsi="Times New Roman" w:cs="Times New Roman"/>
          <w:sz w:val="24"/>
          <w:szCs w:val="24"/>
          <w:lang w:eastAsia="hr-HR"/>
        </w:rPr>
        <w:t xml:space="preserve"> u 2024.</w:t>
      </w:r>
      <w:r w:rsidR="005555E4">
        <w:rPr>
          <w:rFonts w:ascii="Times New Roman" w:eastAsia="Times New Roman" w:hAnsi="Times New Roman" w:cs="Times New Roman"/>
          <w:sz w:val="24"/>
          <w:szCs w:val="24"/>
          <w:lang w:eastAsia="hr-HR"/>
        </w:rPr>
        <w:t xml:space="preserve">godini, 10.000 eura u </w:t>
      </w:r>
      <w:r w:rsidR="00402D5F">
        <w:rPr>
          <w:rFonts w:ascii="Times New Roman" w:eastAsia="Times New Roman" w:hAnsi="Times New Roman" w:cs="Times New Roman"/>
          <w:sz w:val="24"/>
          <w:szCs w:val="24"/>
          <w:lang w:eastAsia="hr-HR"/>
        </w:rPr>
        <w:t>2025. godini</w:t>
      </w:r>
      <w:r w:rsidR="00C646E1">
        <w:rPr>
          <w:rFonts w:ascii="Times New Roman" w:eastAsia="Times New Roman" w:hAnsi="Times New Roman" w:cs="Times New Roman"/>
          <w:sz w:val="24"/>
          <w:szCs w:val="24"/>
          <w:lang w:eastAsia="hr-HR"/>
        </w:rPr>
        <w:t xml:space="preserve"> i</w:t>
      </w:r>
      <w:r w:rsidR="00402D5F">
        <w:rPr>
          <w:rFonts w:ascii="Times New Roman" w:eastAsia="Times New Roman" w:hAnsi="Times New Roman" w:cs="Times New Roman"/>
          <w:sz w:val="24"/>
          <w:szCs w:val="24"/>
          <w:lang w:eastAsia="hr-HR"/>
        </w:rPr>
        <w:t xml:space="preserve"> 12.000 eura u 2026. godini</w:t>
      </w:r>
      <w:r w:rsidR="00C646E1">
        <w:rPr>
          <w:rFonts w:ascii="Times New Roman" w:eastAsia="Times New Roman" w:hAnsi="Times New Roman" w:cs="Times New Roman"/>
          <w:sz w:val="24"/>
          <w:szCs w:val="24"/>
          <w:lang w:eastAsia="hr-HR"/>
        </w:rPr>
        <w:t>,</w:t>
      </w:r>
      <w:r w:rsidR="002C1EF0">
        <w:rPr>
          <w:rFonts w:ascii="Times New Roman" w:eastAsia="Times New Roman" w:hAnsi="Times New Roman" w:cs="Times New Roman"/>
          <w:sz w:val="24"/>
          <w:szCs w:val="24"/>
          <w:lang w:eastAsia="hr-HR"/>
        </w:rPr>
        <w:t xml:space="preserve"> te po 6.000 eura za troškove najma dvorana za edukacije kroz sve tri planske godine</w:t>
      </w:r>
      <w:r w:rsidR="009E024C" w:rsidRPr="009E024C">
        <w:rPr>
          <w:rFonts w:ascii="Times New Roman" w:eastAsia="Times New Roman" w:hAnsi="Times New Roman" w:cs="Times New Roman"/>
          <w:sz w:val="24"/>
          <w:szCs w:val="24"/>
          <w:lang w:eastAsia="hr-HR"/>
        </w:rPr>
        <w:t>.</w:t>
      </w:r>
    </w:p>
    <w:p w:rsidR="009E024C" w:rsidRPr="009E024C" w:rsidRDefault="008E3300" w:rsidP="008E3300">
      <w:pPr>
        <w:tabs>
          <w:tab w:val="left" w:pos="851"/>
        </w:tabs>
        <w:spacing w:before="120" w:after="0" w:line="240" w:lineRule="auto"/>
        <w:ind w:right="-52"/>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9E024C" w:rsidRPr="009E024C">
        <w:rPr>
          <w:rFonts w:ascii="Times New Roman" w:eastAsia="Times New Roman" w:hAnsi="Times New Roman" w:cs="Times New Roman"/>
          <w:sz w:val="24"/>
          <w:szCs w:val="24"/>
          <w:lang w:eastAsia="hr-HR"/>
        </w:rPr>
        <w:t>U provođenju ove aktivnosti sudjeluju specijalisti dermatolozi iz više zdravstvenih ustanova, a nositelj projekta je Klinički bolnički centar Sestre milosrdnice.</w:t>
      </w:r>
    </w:p>
    <w:p w:rsidR="008E3300" w:rsidRDefault="008E3300" w:rsidP="008E3300">
      <w:pPr>
        <w:tabs>
          <w:tab w:val="left" w:pos="851"/>
        </w:tabs>
        <w:spacing w:before="120" w:after="0" w:line="240" w:lineRule="auto"/>
        <w:ind w:right="373"/>
        <w:jc w:val="both"/>
        <w:rPr>
          <w:rFonts w:ascii="Times New Roman" w:eastAsia="Times New Roman" w:hAnsi="Times New Roman" w:cs="Times New Roman"/>
          <w:b/>
          <w:sz w:val="24"/>
          <w:szCs w:val="24"/>
          <w:lang w:eastAsia="hr-HR"/>
        </w:rPr>
      </w:pPr>
    </w:p>
    <w:p w:rsidR="009E024C" w:rsidRPr="008E3300" w:rsidRDefault="009E024C" w:rsidP="008E3300">
      <w:pPr>
        <w:tabs>
          <w:tab w:val="left" w:pos="851"/>
        </w:tabs>
        <w:spacing w:before="120" w:after="0" w:line="240" w:lineRule="auto"/>
        <w:ind w:right="373"/>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b/>
          <w:sz w:val="24"/>
          <w:szCs w:val="24"/>
          <w:lang w:eastAsia="hr-HR"/>
        </w:rPr>
        <w:t>Pokazatelji rezultata</w:t>
      </w:r>
    </w:p>
    <w:p w:rsidR="009E024C" w:rsidRPr="009E024C" w:rsidRDefault="009E024C" w:rsidP="009E024C">
      <w:pPr>
        <w:spacing w:after="0" w:line="240" w:lineRule="auto"/>
        <w:ind w:left="709" w:right="657"/>
        <w:jc w:val="both"/>
        <w:rPr>
          <w:rFonts w:ascii="Times New Roman" w:eastAsia="Times New Roman" w:hAnsi="Times New Roman" w:cs="Times New Roman"/>
          <w:b/>
          <w:sz w:val="24"/>
          <w:szCs w:val="24"/>
          <w:lang w:eastAsia="hr-HR"/>
        </w:rPr>
      </w:pPr>
    </w:p>
    <w:tbl>
      <w:tblPr>
        <w:tblW w:w="94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992"/>
        <w:gridCol w:w="1087"/>
        <w:gridCol w:w="996"/>
        <w:gridCol w:w="1087"/>
        <w:gridCol w:w="1176"/>
        <w:gridCol w:w="1176"/>
      </w:tblGrid>
      <w:tr w:rsidR="009E024C" w:rsidRPr="009E024C" w:rsidTr="008E3300">
        <w:tc>
          <w:tcPr>
            <w:tcW w:w="1242" w:type="dxa"/>
            <w:shd w:val="clear" w:color="auto" w:fill="auto"/>
          </w:tcPr>
          <w:p w:rsidR="009E024C" w:rsidRPr="009E024C" w:rsidRDefault="009E024C" w:rsidP="009E024C">
            <w:pPr>
              <w:spacing w:after="0" w:line="240" w:lineRule="auto"/>
              <w:ind w:right="-9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Pokazatelj rezultata</w:t>
            </w:r>
          </w:p>
        </w:tc>
        <w:tc>
          <w:tcPr>
            <w:tcW w:w="1701" w:type="dxa"/>
            <w:shd w:val="clear" w:color="auto" w:fill="auto"/>
          </w:tcPr>
          <w:p w:rsidR="009E024C" w:rsidRPr="009E024C" w:rsidRDefault="009E024C" w:rsidP="009E024C">
            <w:pPr>
              <w:spacing w:after="0" w:line="240" w:lineRule="auto"/>
              <w:ind w:right="-9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Definicija</w:t>
            </w:r>
          </w:p>
        </w:tc>
        <w:tc>
          <w:tcPr>
            <w:tcW w:w="992" w:type="dxa"/>
            <w:shd w:val="clear" w:color="auto" w:fill="auto"/>
          </w:tcPr>
          <w:p w:rsidR="009E024C" w:rsidRPr="009E024C" w:rsidRDefault="009E024C" w:rsidP="009E024C">
            <w:pPr>
              <w:spacing w:after="0" w:line="240" w:lineRule="auto"/>
              <w:ind w:left="-108" w:right="-9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Jedinica</w:t>
            </w:r>
          </w:p>
        </w:tc>
        <w:tc>
          <w:tcPr>
            <w:tcW w:w="1087" w:type="dxa"/>
            <w:shd w:val="clear" w:color="auto" w:fill="auto"/>
          </w:tcPr>
          <w:p w:rsidR="009E024C" w:rsidRPr="009E024C" w:rsidRDefault="009E024C" w:rsidP="009E024C">
            <w:pPr>
              <w:spacing w:after="0" w:line="240" w:lineRule="auto"/>
              <w:ind w:left="-33" w:right="-9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Polazna vrijednost</w:t>
            </w:r>
          </w:p>
        </w:tc>
        <w:tc>
          <w:tcPr>
            <w:tcW w:w="996" w:type="dxa"/>
            <w:shd w:val="clear" w:color="auto" w:fill="auto"/>
          </w:tcPr>
          <w:p w:rsidR="009E024C" w:rsidRPr="009E024C" w:rsidRDefault="009E024C" w:rsidP="009E024C">
            <w:pPr>
              <w:spacing w:after="0" w:line="240" w:lineRule="auto"/>
              <w:ind w:right="-9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Izvor podataka</w:t>
            </w:r>
          </w:p>
        </w:tc>
        <w:tc>
          <w:tcPr>
            <w:tcW w:w="1087" w:type="dxa"/>
            <w:shd w:val="clear" w:color="auto" w:fill="auto"/>
          </w:tcPr>
          <w:p w:rsidR="009E024C" w:rsidRPr="009E024C" w:rsidRDefault="009E024C" w:rsidP="009E024C">
            <w:pPr>
              <w:spacing w:after="0" w:line="240" w:lineRule="auto"/>
              <w:ind w:right="-91"/>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Ciljana vrijednost (2024.)</w:t>
            </w:r>
          </w:p>
        </w:tc>
        <w:tc>
          <w:tcPr>
            <w:tcW w:w="1176" w:type="dxa"/>
            <w:shd w:val="clear" w:color="auto" w:fill="auto"/>
          </w:tcPr>
          <w:p w:rsidR="009E024C" w:rsidRPr="009E024C" w:rsidRDefault="009E024C" w:rsidP="009E024C">
            <w:pPr>
              <w:spacing w:after="0" w:line="240" w:lineRule="auto"/>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Ciljana vrijednost (2025.)</w:t>
            </w:r>
          </w:p>
        </w:tc>
        <w:tc>
          <w:tcPr>
            <w:tcW w:w="1176" w:type="dxa"/>
            <w:shd w:val="clear" w:color="auto" w:fill="auto"/>
          </w:tcPr>
          <w:p w:rsidR="009E024C" w:rsidRPr="009E024C" w:rsidRDefault="009E024C" w:rsidP="009E024C">
            <w:pPr>
              <w:spacing w:after="0" w:line="240" w:lineRule="auto"/>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Ciljana vrijednost (2026.)</w:t>
            </w:r>
          </w:p>
        </w:tc>
      </w:tr>
      <w:tr w:rsidR="009E024C" w:rsidRPr="009E024C" w:rsidTr="008E3300">
        <w:tc>
          <w:tcPr>
            <w:tcW w:w="1242" w:type="dxa"/>
            <w:shd w:val="clear" w:color="auto" w:fill="auto"/>
          </w:tcPr>
          <w:p w:rsidR="009E024C" w:rsidRPr="009E024C" w:rsidRDefault="009E024C" w:rsidP="009E024C">
            <w:pPr>
              <w:spacing w:after="0" w:line="240" w:lineRule="auto"/>
              <w:ind w:right="-108"/>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Udio nabavljenih lijekova i</w:t>
            </w:r>
          </w:p>
          <w:p w:rsidR="009E024C" w:rsidRPr="009E024C" w:rsidRDefault="009E024C" w:rsidP="009E024C">
            <w:pPr>
              <w:spacing w:after="0" w:line="240" w:lineRule="auto"/>
              <w:ind w:right="-108"/>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 xml:space="preserve">test traka u </w:t>
            </w:r>
          </w:p>
          <w:p w:rsidR="009E024C" w:rsidRPr="009E024C" w:rsidRDefault="009E024C" w:rsidP="009E024C">
            <w:pPr>
              <w:spacing w:after="0" w:line="240" w:lineRule="auto"/>
              <w:ind w:right="-108"/>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ukupnom broju planiranih lijekova i</w:t>
            </w:r>
          </w:p>
          <w:p w:rsidR="009E024C" w:rsidRPr="009E024C" w:rsidRDefault="009E024C" w:rsidP="009E024C">
            <w:pPr>
              <w:spacing w:after="0" w:line="240" w:lineRule="auto"/>
              <w:ind w:right="-108"/>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 xml:space="preserve">test traka za </w:t>
            </w:r>
          </w:p>
          <w:p w:rsidR="009E024C" w:rsidRPr="009E024C" w:rsidRDefault="009E024C" w:rsidP="009E024C">
            <w:pPr>
              <w:spacing w:after="0" w:line="240" w:lineRule="auto"/>
              <w:ind w:right="-108"/>
              <w:jc w:val="both"/>
              <w:rPr>
                <w:rFonts w:ascii="Times New Roman" w:eastAsia="Times New Roman" w:hAnsi="Times New Roman" w:cs="Times New Roman"/>
                <w:lang w:eastAsia="hr-HR"/>
              </w:rPr>
            </w:pPr>
            <w:r w:rsidRPr="009E024C">
              <w:rPr>
                <w:rFonts w:ascii="Times New Roman" w:eastAsia="Times New Roman" w:hAnsi="Times New Roman" w:cs="Times New Roman"/>
                <w:lang w:eastAsia="hr-HR"/>
              </w:rPr>
              <w:t>nabavu</w:t>
            </w:r>
          </w:p>
        </w:tc>
        <w:tc>
          <w:tcPr>
            <w:tcW w:w="1701" w:type="dxa"/>
            <w:shd w:val="clear" w:color="auto" w:fill="auto"/>
          </w:tcPr>
          <w:p w:rsidR="009E024C" w:rsidRPr="009E024C" w:rsidRDefault="009E024C" w:rsidP="009E024C">
            <w:pPr>
              <w:spacing w:after="0" w:line="240" w:lineRule="auto"/>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Pružanje stručne medicinske pomoći registriranim ovisnicima o</w:t>
            </w:r>
          </w:p>
          <w:p w:rsidR="009E024C" w:rsidRPr="009E024C" w:rsidRDefault="009E024C" w:rsidP="009E024C">
            <w:pPr>
              <w:spacing w:after="0" w:line="240" w:lineRule="auto"/>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drogi</w:t>
            </w:r>
          </w:p>
        </w:tc>
        <w:tc>
          <w:tcPr>
            <w:tcW w:w="992" w:type="dxa"/>
            <w:shd w:val="clear" w:color="auto" w:fill="auto"/>
          </w:tcPr>
          <w:p w:rsidR="009E024C" w:rsidRPr="009E024C" w:rsidRDefault="009E024C" w:rsidP="009E024C">
            <w:pPr>
              <w:tabs>
                <w:tab w:val="left" w:pos="0"/>
              </w:tabs>
              <w:spacing w:after="0" w:line="240" w:lineRule="auto"/>
              <w:ind w:right="175"/>
              <w:jc w:val="center"/>
              <w:rPr>
                <w:rFonts w:ascii="Times New Roman" w:eastAsia="Times New Roman" w:hAnsi="Times New Roman" w:cs="Times New Roman"/>
                <w:sz w:val="24"/>
                <w:szCs w:val="24"/>
                <w:lang w:eastAsia="hr-HR"/>
              </w:rPr>
            </w:pPr>
          </w:p>
          <w:p w:rsidR="009E024C" w:rsidRPr="009E024C" w:rsidRDefault="009E024C" w:rsidP="009E024C">
            <w:pPr>
              <w:tabs>
                <w:tab w:val="left" w:pos="0"/>
              </w:tabs>
              <w:spacing w:after="0" w:line="240" w:lineRule="auto"/>
              <w:ind w:right="175"/>
              <w:jc w:val="center"/>
              <w:rPr>
                <w:rFonts w:ascii="Times New Roman" w:eastAsia="Times New Roman" w:hAnsi="Times New Roman" w:cs="Times New Roman"/>
                <w:sz w:val="24"/>
                <w:szCs w:val="24"/>
                <w:lang w:eastAsia="hr-HR"/>
              </w:rPr>
            </w:pPr>
          </w:p>
          <w:p w:rsidR="009E024C" w:rsidRPr="009E024C" w:rsidRDefault="009E024C" w:rsidP="009E024C">
            <w:pPr>
              <w:tabs>
                <w:tab w:val="left" w:pos="0"/>
              </w:tabs>
              <w:spacing w:after="0" w:line="240" w:lineRule="auto"/>
              <w:ind w:right="175"/>
              <w:jc w:val="center"/>
              <w:rPr>
                <w:rFonts w:ascii="Times New Roman" w:eastAsia="Times New Roman" w:hAnsi="Times New Roman" w:cs="Times New Roman"/>
                <w:sz w:val="24"/>
                <w:szCs w:val="24"/>
                <w:lang w:eastAsia="hr-HR"/>
              </w:rPr>
            </w:pPr>
          </w:p>
          <w:p w:rsidR="009E024C" w:rsidRPr="009E024C" w:rsidRDefault="009E024C" w:rsidP="009E024C">
            <w:pPr>
              <w:tabs>
                <w:tab w:val="left" w:pos="0"/>
              </w:tabs>
              <w:spacing w:after="0" w:line="240" w:lineRule="auto"/>
              <w:ind w:right="175"/>
              <w:jc w:val="center"/>
              <w:rPr>
                <w:rFonts w:ascii="Times New Roman" w:eastAsia="Times New Roman" w:hAnsi="Times New Roman" w:cs="Times New Roman"/>
                <w:sz w:val="24"/>
                <w:szCs w:val="24"/>
                <w:lang w:eastAsia="hr-HR"/>
              </w:rPr>
            </w:pPr>
          </w:p>
          <w:p w:rsidR="009E024C" w:rsidRPr="009E024C" w:rsidRDefault="009E024C" w:rsidP="009E024C">
            <w:pPr>
              <w:tabs>
                <w:tab w:val="left" w:pos="0"/>
              </w:tabs>
              <w:spacing w:after="0" w:line="240" w:lineRule="auto"/>
              <w:ind w:right="175"/>
              <w:jc w:val="center"/>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w:t>
            </w:r>
          </w:p>
        </w:tc>
        <w:tc>
          <w:tcPr>
            <w:tcW w:w="1087" w:type="dxa"/>
            <w:shd w:val="clear" w:color="auto" w:fill="auto"/>
          </w:tcPr>
          <w:p w:rsidR="009E024C" w:rsidRPr="009E024C" w:rsidRDefault="009E024C" w:rsidP="009E024C">
            <w:pPr>
              <w:spacing w:after="0" w:line="240" w:lineRule="auto"/>
              <w:ind w:right="195"/>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195"/>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195"/>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195"/>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195"/>
              <w:jc w:val="center"/>
              <w:rPr>
                <w:rFonts w:ascii="Times New Roman" w:eastAsia="Times New Roman" w:hAnsi="Times New Roman" w:cs="Times New Roman"/>
                <w:color w:val="000000"/>
                <w:sz w:val="24"/>
                <w:szCs w:val="24"/>
                <w:lang w:eastAsia="hr-HR"/>
              </w:rPr>
            </w:pPr>
            <w:r w:rsidRPr="009E024C">
              <w:rPr>
                <w:rFonts w:ascii="Times New Roman" w:eastAsia="Times New Roman" w:hAnsi="Times New Roman" w:cs="Times New Roman"/>
                <w:color w:val="000000"/>
                <w:sz w:val="24"/>
                <w:szCs w:val="24"/>
                <w:lang w:eastAsia="hr-HR"/>
              </w:rPr>
              <w:t>77,68</w:t>
            </w:r>
          </w:p>
        </w:tc>
        <w:tc>
          <w:tcPr>
            <w:tcW w:w="996" w:type="dxa"/>
            <w:shd w:val="clear" w:color="auto" w:fill="auto"/>
          </w:tcPr>
          <w:p w:rsidR="009E024C" w:rsidRPr="009E024C" w:rsidRDefault="009E024C" w:rsidP="009E024C">
            <w:pPr>
              <w:spacing w:after="0" w:line="240" w:lineRule="auto"/>
              <w:jc w:val="both"/>
              <w:rPr>
                <w:rFonts w:ascii="Times New Roman" w:eastAsia="Times New Roman" w:hAnsi="Times New Roman" w:cs="Times New Roman"/>
                <w:sz w:val="24"/>
                <w:szCs w:val="24"/>
                <w:lang w:eastAsia="hr-HR"/>
              </w:rPr>
            </w:pPr>
          </w:p>
          <w:p w:rsidR="009E024C" w:rsidRPr="009E024C" w:rsidRDefault="009E024C" w:rsidP="009E024C">
            <w:pPr>
              <w:spacing w:after="0" w:line="240" w:lineRule="auto"/>
              <w:jc w:val="both"/>
              <w:rPr>
                <w:rFonts w:ascii="Times New Roman" w:eastAsia="Times New Roman" w:hAnsi="Times New Roman" w:cs="Times New Roman"/>
                <w:sz w:val="24"/>
                <w:szCs w:val="24"/>
                <w:lang w:eastAsia="hr-HR"/>
              </w:rPr>
            </w:pPr>
          </w:p>
          <w:p w:rsidR="009E024C" w:rsidRPr="009E024C" w:rsidRDefault="009E024C" w:rsidP="009E024C">
            <w:pPr>
              <w:spacing w:after="0" w:line="240" w:lineRule="auto"/>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Materijalno knjigovodstvo</w:t>
            </w:r>
          </w:p>
        </w:tc>
        <w:tc>
          <w:tcPr>
            <w:tcW w:w="1087" w:type="dxa"/>
            <w:shd w:val="clear" w:color="auto" w:fill="auto"/>
          </w:tcPr>
          <w:p w:rsidR="009E024C" w:rsidRPr="009E024C" w:rsidRDefault="009E024C" w:rsidP="009E024C">
            <w:pPr>
              <w:spacing w:after="0" w:line="240" w:lineRule="auto"/>
              <w:ind w:right="85"/>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85"/>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85"/>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85"/>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85"/>
              <w:jc w:val="center"/>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100</w:t>
            </w:r>
          </w:p>
        </w:tc>
        <w:tc>
          <w:tcPr>
            <w:tcW w:w="1176" w:type="dxa"/>
            <w:shd w:val="clear" w:color="auto" w:fill="auto"/>
          </w:tcPr>
          <w:p w:rsidR="009E024C" w:rsidRPr="009E024C" w:rsidRDefault="009E024C" w:rsidP="009E024C">
            <w:pPr>
              <w:spacing w:after="0" w:line="240" w:lineRule="auto"/>
              <w:ind w:right="657"/>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657"/>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657"/>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657"/>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127"/>
              <w:jc w:val="center"/>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100</w:t>
            </w:r>
          </w:p>
        </w:tc>
        <w:tc>
          <w:tcPr>
            <w:tcW w:w="1176" w:type="dxa"/>
            <w:shd w:val="clear" w:color="auto" w:fill="auto"/>
          </w:tcPr>
          <w:p w:rsidR="009E024C" w:rsidRPr="009E024C" w:rsidRDefault="009E024C" w:rsidP="009E024C">
            <w:pPr>
              <w:spacing w:after="0" w:line="240" w:lineRule="auto"/>
              <w:ind w:right="657"/>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657"/>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657"/>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657"/>
              <w:jc w:val="center"/>
              <w:rPr>
                <w:rFonts w:ascii="Times New Roman" w:eastAsia="Times New Roman" w:hAnsi="Times New Roman" w:cs="Times New Roman"/>
                <w:sz w:val="24"/>
                <w:szCs w:val="24"/>
                <w:lang w:eastAsia="hr-HR"/>
              </w:rPr>
            </w:pPr>
          </w:p>
          <w:p w:rsidR="009E024C" w:rsidRPr="009E024C" w:rsidRDefault="009E024C" w:rsidP="009E024C">
            <w:pPr>
              <w:spacing w:after="0" w:line="240" w:lineRule="auto"/>
              <w:ind w:right="311"/>
              <w:jc w:val="center"/>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100</w:t>
            </w:r>
          </w:p>
        </w:tc>
      </w:tr>
    </w:tbl>
    <w:p w:rsidR="009E024C" w:rsidRPr="009E024C" w:rsidRDefault="009E024C" w:rsidP="009E024C">
      <w:pPr>
        <w:spacing w:before="120" w:after="0" w:line="240" w:lineRule="auto"/>
        <w:ind w:left="180" w:right="-142"/>
        <w:jc w:val="both"/>
        <w:rPr>
          <w:rFonts w:ascii="Times New Roman" w:eastAsia="Times New Roman" w:hAnsi="Times New Roman" w:cs="Times New Roman"/>
          <w:sz w:val="24"/>
          <w:szCs w:val="24"/>
          <w:lang w:eastAsia="hr-HR"/>
        </w:rPr>
      </w:pPr>
      <w:r w:rsidRPr="009E024C">
        <w:rPr>
          <w:rFonts w:ascii="Times New Roman" w:eastAsia="Times New Roman" w:hAnsi="Times New Roman" w:cs="Times New Roman"/>
          <w:sz w:val="24"/>
          <w:szCs w:val="24"/>
          <w:lang w:eastAsia="hr-HR"/>
        </w:rPr>
        <w:tab/>
      </w:r>
      <w:r w:rsidRPr="009E024C">
        <w:rPr>
          <w:rFonts w:ascii="Times New Roman" w:eastAsia="Times New Roman" w:hAnsi="Times New Roman" w:cs="Times New Roman"/>
          <w:sz w:val="24"/>
          <w:szCs w:val="24"/>
          <w:lang w:eastAsia="hr-HR"/>
        </w:rPr>
        <w:tab/>
      </w:r>
      <w:r w:rsidRPr="009E024C">
        <w:rPr>
          <w:rFonts w:ascii="Times New Roman" w:eastAsia="Times New Roman" w:hAnsi="Times New Roman" w:cs="Times New Roman"/>
          <w:sz w:val="24"/>
          <w:szCs w:val="24"/>
          <w:lang w:eastAsia="hr-HR"/>
        </w:rPr>
        <w:tab/>
      </w:r>
      <w:r w:rsidRPr="009E024C">
        <w:rPr>
          <w:rFonts w:ascii="Times New Roman" w:eastAsia="Times New Roman" w:hAnsi="Times New Roman" w:cs="Times New Roman"/>
          <w:sz w:val="24"/>
          <w:szCs w:val="24"/>
          <w:lang w:eastAsia="hr-HR"/>
        </w:rPr>
        <w:tab/>
      </w:r>
      <w:r w:rsidRPr="009E024C">
        <w:rPr>
          <w:rFonts w:ascii="Times New Roman" w:eastAsia="Times New Roman" w:hAnsi="Times New Roman" w:cs="Times New Roman"/>
          <w:sz w:val="24"/>
          <w:szCs w:val="24"/>
          <w:lang w:eastAsia="hr-HR"/>
        </w:rPr>
        <w:tab/>
      </w:r>
      <w:r w:rsidRPr="009E024C">
        <w:rPr>
          <w:rFonts w:ascii="Times New Roman" w:eastAsia="Times New Roman" w:hAnsi="Times New Roman" w:cs="Times New Roman"/>
          <w:sz w:val="24"/>
          <w:szCs w:val="24"/>
          <w:lang w:eastAsia="hr-HR"/>
        </w:rPr>
        <w:tab/>
      </w:r>
      <w:r w:rsidRPr="009E024C">
        <w:rPr>
          <w:rFonts w:ascii="Times New Roman" w:eastAsia="Times New Roman" w:hAnsi="Times New Roman" w:cs="Times New Roman"/>
          <w:sz w:val="24"/>
          <w:szCs w:val="24"/>
          <w:lang w:eastAsia="hr-HR"/>
        </w:rPr>
        <w:tab/>
      </w:r>
    </w:p>
    <w:p w:rsidR="009E024C" w:rsidRPr="009E024C" w:rsidRDefault="009E024C" w:rsidP="009E024C">
      <w:pPr>
        <w:spacing w:before="120" w:after="0" w:line="240" w:lineRule="auto"/>
        <w:ind w:left="180" w:right="-142"/>
        <w:jc w:val="both"/>
        <w:rPr>
          <w:rFonts w:ascii="Times New Roman" w:eastAsia="Times New Roman" w:hAnsi="Times New Roman" w:cs="Times New Roman"/>
          <w:sz w:val="24"/>
          <w:szCs w:val="24"/>
          <w:lang w:eastAsia="hr-HR"/>
        </w:rPr>
      </w:pPr>
    </w:p>
    <w:p w:rsidR="00C24D61" w:rsidRDefault="00C646E1" w:rsidP="00C646E1">
      <w:pPr>
        <w:spacing w:before="120" w:after="0" w:line="240" w:lineRule="auto"/>
        <w:ind w:left="180" w:right="-142"/>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009E024C" w:rsidRPr="009E024C">
        <w:rPr>
          <w:rFonts w:ascii="Times New Roman" w:eastAsia="Times New Roman" w:hAnsi="Times New Roman" w:cs="Times New Roman"/>
          <w:sz w:val="24"/>
          <w:szCs w:val="24"/>
          <w:lang w:eastAsia="hr-HR"/>
        </w:rPr>
        <w:t>RAVNATELJ</w:t>
      </w:r>
      <w:r>
        <w:rPr>
          <w:rFonts w:ascii="Times New Roman" w:eastAsia="Times New Roman" w:hAnsi="Times New Roman" w:cs="Times New Roman"/>
          <w:sz w:val="24"/>
          <w:szCs w:val="24"/>
          <w:lang w:eastAsia="hr-HR"/>
        </w:rPr>
        <w:t xml:space="preserve"> K</w:t>
      </w:r>
      <w:r w:rsidR="009E024C" w:rsidRPr="009E024C">
        <w:rPr>
          <w:rFonts w:ascii="Times New Roman" w:eastAsia="Times New Roman" w:hAnsi="Times New Roman" w:cs="Times New Roman"/>
          <w:sz w:val="24"/>
          <w:szCs w:val="24"/>
          <w:lang w:eastAsia="hr-HR"/>
        </w:rPr>
        <w:t>BC SESTRE MILOSRDNICE</w:t>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009E024C" w:rsidRPr="009E024C">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p>
    <w:p w:rsidR="009D3C75" w:rsidRDefault="009E024C" w:rsidP="00C24D61">
      <w:pPr>
        <w:spacing w:before="120" w:after="0" w:line="240" w:lineRule="auto"/>
        <w:ind w:left="4428" w:right="-142" w:firstLine="528"/>
        <w:jc w:val="both"/>
      </w:pPr>
      <w:r w:rsidRPr="009E024C">
        <w:rPr>
          <w:rFonts w:ascii="Times New Roman" w:eastAsia="Times New Roman" w:hAnsi="Times New Roman" w:cs="Times New Roman"/>
          <w:sz w:val="24"/>
          <w:szCs w:val="24"/>
          <w:lang w:eastAsia="hr-HR"/>
        </w:rPr>
        <w:t xml:space="preserve"> Prof.dr.sc. Davor Vagić</w:t>
      </w:r>
      <w:r w:rsidR="00C646E1">
        <w:rPr>
          <w:rFonts w:ascii="Times New Roman" w:eastAsia="Times New Roman" w:hAnsi="Times New Roman" w:cs="Times New Roman"/>
          <w:sz w:val="24"/>
          <w:szCs w:val="24"/>
          <w:lang w:eastAsia="hr-HR"/>
        </w:rPr>
        <w:t>, dr.med.</w:t>
      </w:r>
    </w:p>
    <w:sectPr w:rsidR="009D3C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50588"/>
    <w:multiLevelType w:val="hybridMultilevel"/>
    <w:tmpl w:val="F6EE946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8FD3D59"/>
    <w:multiLevelType w:val="hybridMultilevel"/>
    <w:tmpl w:val="606097A8"/>
    <w:lvl w:ilvl="0" w:tplc="80527204">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2">
    <w:nsid w:val="34EB4FB4"/>
    <w:multiLevelType w:val="hybridMultilevel"/>
    <w:tmpl w:val="AC104E3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63882C41"/>
    <w:multiLevelType w:val="hybridMultilevel"/>
    <w:tmpl w:val="FEF0DA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0B"/>
    <w:rsid w:val="0009225B"/>
    <w:rsid w:val="000E329C"/>
    <w:rsid w:val="00134F54"/>
    <w:rsid w:val="00163DD9"/>
    <w:rsid w:val="00165767"/>
    <w:rsid w:val="00183C44"/>
    <w:rsid w:val="00194E15"/>
    <w:rsid w:val="00201D86"/>
    <w:rsid w:val="0020616D"/>
    <w:rsid w:val="0028338E"/>
    <w:rsid w:val="00287C1A"/>
    <w:rsid w:val="002B7E49"/>
    <w:rsid w:val="002C1EF0"/>
    <w:rsid w:val="00307437"/>
    <w:rsid w:val="00313BBD"/>
    <w:rsid w:val="00350D58"/>
    <w:rsid w:val="00366B19"/>
    <w:rsid w:val="003F1617"/>
    <w:rsid w:val="003F7E39"/>
    <w:rsid w:val="00402D5F"/>
    <w:rsid w:val="004050BC"/>
    <w:rsid w:val="00417D4F"/>
    <w:rsid w:val="00450E80"/>
    <w:rsid w:val="00470E9F"/>
    <w:rsid w:val="0048029A"/>
    <w:rsid w:val="004B7835"/>
    <w:rsid w:val="004C2B89"/>
    <w:rsid w:val="004C61BE"/>
    <w:rsid w:val="004F73CC"/>
    <w:rsid w:val="005026BB"/>
    <w:rsid w:val="00511E21"/>
    <w:rsid w:val="00522191"/>
    <w:rsid w:val="005419C5"/>
    <w:rsid w:val="005555E4"/>
    <w:rsid w:val="005A45CB"/>
    <w:rsid w:val="006149C4"/>
    <w:rsid w:val="00652972"/>
    <w:rsid w:val="006553A0"/>
    <w:rsid w:val="0066570D"/>
    <w:rsid w:val="006A55B9"/>
    <w:rsid w:val="006E55D8"/>
    <w:rsid w:val="00757E62"/>
    <w:rsid w:val="00780E1F"/>
    <w:rsid w:val="00781DFF"/>
    <w:rsid w:val="007B50EE"/>
    <w:rsid w:val="007B6895"/>
    <w:rsid w:val="007B73E4"/>
    <w:rsid w:val="007D7426"/>
    <w:rsid w:val="007E5A4B"/>
    <w:rsid w:val="007E73A6"/>
    <w:rsid w:val="00850334"/>
    <w:rsid w:val="008B7057"/>
    <w:rsid w:val="008C1FCE"/>
    <w:rsid w:val="008C5D88"/>
    <w:rsid w:val="008E3300"/>
    <w:rsid w:val="00914CF8"/>
    <w:rsid w:val="00990A3E"/>
    <w:rsid w:val="00990A9D"/>
    <w:rsid w:val="009B578B"/>
    <w:rsid w:val="009D3C75"/>
    <w:rsid w:val="009E024C"/>
    <w:rsid w:val="009E7BA4"/>
    <w:rsid w:val="00A215D4"/>
    <w:rsid w:val="00A2427F"/>
    <w:rsid w:val="00A33884"/>
    <w:rsid w:val="00A67ABE"/>
    <w:rsid w:val="00A75F6F"/>
    <w:rsid w:val="00A77817"/>
    <w:rsid w:val="00AC4339"/>
    <w:rsid w:val="00AD0B3F"/>
    <w:rsid w:val="00AE0A4F"/>
    <w:rsid w:val="00B50C7E"/>
    <w:rsid w:val="00BD5266"/>
    <w:rsid w:val="00BD6E8A"/>
    <w:rsid w:val="00BE547F"/>
    <w:rsid w:val="00C05B95"/>
    <w:rsid w:val="00C05B9B"/>
    <w:rsid w:val="00C0760C"/>
    <w:rsid w:val="00C07CBE"/>
    <w:rsid w:val="00C24D61"/>
    <w:rsid w:val="00C4277B"/>
    <w:rsid w:val="00C646E1"/>
    <w:rsid w:val="00C66DA7"/>
    <w:rsid w:val="00C75C75"/>
    <w:rsid w:val="00C86A06"/>
    <w:rsid w:val="00C927F4"/>
    <w:rsid w:val="00C945B1"/>
    <w:rsid w:val="00CB22C6"/>
    <w:rsid w:val="00D655D2"/>
    <w:rsid w:val="00DA1363"/>
    <w:rsid w:val="00DC5F20"/>
    <w:rsid w:val="00E06B91"/>
    <w:rsid w:val="00E16FC7"/>
    <w:rsid w:val="00E36A86"/>
    <w:rsid w:val="00E44FE4"/>
    <w:rsid w:val="00E60FBB"/>
    <w:rsid w:val="00E615DA"/>
    <w:rsid w:val="00E85A0B"/>
    <w:rsid w:val="00E94128"/>
    <w:rsid w:val="00EA6803"/>
    <w:rsid w:val="00F01C78"/>
    <w:rsid w:val="00F14A63"/>
    <w:rsid w:val="00F617F4"/>
    <w:rsid w:val="00F66402"/>
    <w:rsid w:val="00F70CF9"/>
    <w:rsid w:val="00F9530E"/>
    <w:rsid w:val="00FC45D9"/>
    <w:rsid w:val="00FE18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63D88-3426-4840-A1D8-D245D983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24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9E02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rsid w:val="009E024C"/>
    <w:pPr>
      <w:tabs>
        <w:tab w:val="center" w:pos="4536"/>
        <w:tab w:val="right" w:pos="9072"/>
      </w:tabs>
      <w:spacing w:after="0" w:line="240" w:lineRule="auto"/>
      <w:jc w:val="both"/>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rsid w:val="009E024C"/>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781DF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81DFF"/>
    <w:rPr>
      <w:rFonts w:ascii="Segoe UI" w:hAnsi="Segoe UI" w:cs="Segoe UI"/>
      <w:sz w:val="18"/>
      <w:szCs w:val="18"/>
    </w:rPr>
  </w:style>
  <w:style w:type="paragraph" w:styleId="Odlomakpopisa">
    <w:name w:val="List Paragraph"/>
    <w:basedOn w:val="Normal"/>
    <w:uiPriority w:val="34"/>
    <w:qFormat/>
    <w:rsid w:val="00FE1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9040E-8E16-46F3-A4A7-CF32627D3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5465</Words>
  <Characters>31157</Characters>
  <Application>Microsoft Office Word</Application>
  <DocSecurity>0</DocSecurity>
  <Lines>259</Lines>
  <Paragraphs>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DIMEC JASNA</dc:creator>
  <cp:keywords/>
  <dc:description/>
  <cp:lastModifiedBy>DIMEC JASNA</cp:lastModifiedBy>
  <cp:revision>2</cp:revision>
  <cp:lastPrinted>2023-12-19T13:27:00Z</cp:lastPrinted>
  <dcterms:created xsi:type="dcterms:W3CDTF">2023-12-28T13:04:00Z</dcterms:created>
  <dcterms:modified xsi:type="dcterms:W3CDTF">2023-12-28T13:04:00Z</dcterms:modified>
</cp:coreProperties>
</file>