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EA" w:rsidRP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>Načelo „ne nanosi bitnu štetu“ (</w:t>
      </w:r>
      <w:proofErr w:type="spellStart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>eng</w:t>
      </w:r>
      <w:proofErr w:type="spellEnd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 xml:space="preserve">. „Do no </w:t>
      </w:r>
      <w:proofErr w:type="spellStart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>significant</w:t>
      </w:r>
      <w:proofErr w:type="spellEnd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>harm</w:t>
      </w:r>
      <w:proofErr w:type="spellEnd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>“) okolišnim ciljevima</w:t>
      </w:r>
    </w:p>
    <w:p w:rsidR="00F524EA" w:rsidRDefault="00F524EA" w:rsidP="00F524EA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524EA" w:rsidRP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Ulaganje u cjelovitu obnovu zgrada treba biti usklađeno s načelom </w:t>
      </w:r>
      <w:proofErr w:type="spellStart"/>
      <w:r w:rsidRPr="00F524EA">
        <w:rPr>
          <w:rFonts w:ascii="Times New Roman" w:eastAsia="Times New Roman" w:hAnsi="Times New Roman" w:cs="Times New Roman"/>
          <w:sz w:val="24"/>
          <w:szCs w:val="24"/>
        </w:rPr>
        <w:t>nenanošenja</w:t>
      </w:r>
      <w:proofErr w:type="spellEnd"/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 bitne štete (Do no </w:t>
      </w:r>
      <w:proofErr w:type="spellStart"/>
      <w:r w:rsidRPr="00F524EA"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4EA">
        <w:rPr>
          <w:rFonts w:ascii="Times New Roman" w:eastAsia="Times New Roman" w:hAnsi="Times New Roman" w:cs="Times New Roman"/>
          <w:sz w:val="24"/>
          <w:szCs w:val="24"/>
        </w:rPr>
        <w:t>harm</w:t>
      </w:r>
      <w:proofErr w:type="spellEnd"/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 - DNSH), odnosno ne smije nanijeti bitnu štetu okolišnim ciljevima u smislu članka 17. Uredbe (EU) 2020/852 Europskog parlamenta i Vijeća od 18. lipnja 2020. godine o uspostavi okvira za olakšavanje održivih ulaganja i izmjeni Uredbe (EU) 2019/2088, što je u skladu s Uredbom o uspostavi Mehanizma za oporavak i otpornost. </w:t>
      </w:r>
    </w:p>
    <w:p w:rsidR="00F524EA" w:rsidRP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U okviru NPOO-a u sklopu investicije C6.1. R1-I2 Obnova zgrada oštećenih u potresu s energetskom obnovom osigurana su sredstva za sveobuhvatnu obnovu </w:t>
      </w:r>
      <w:proofErr w:type="spellStart"/>
      <w:r w:rsidRPr="00F524EA">
        <w:rPr>
          <w:rFonts w:ascii="Times New Roman" w:eastAsia="Times New Roman" w:hAnsi="Times New Roman" w:cs="Times New Roman"/>
          <w:sz w:val="24"/>
          <w:szCs w:val="24"/>
        </w:rPr>
        <w:t>višestambenih</w:t>
      </w:r>
      <w:proofErr w:type="spellEnd"/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 zgrada i zgrada javnog sektora oštećenih u potresu kako bi se sanirala nastala oštećenja te povećala mehanička otpornost i stabilnost zgrade, povećala energetska učinkovitost i korištenje obnovljivih izvora energije, smanjila emisija CO</w:t>
      </w:r>
      <w:r w:rsidRPr="00F524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524EA">
        <w:rPr>
          <w:rFonts w:ascii="Times New Roman" w:eastAsia="Times New Roman" w:hAnsi="Times New Roman" w:cs="Times New Roman"/>
          <w:sz w:val="24"/>
          <w:szCs w:val="24"/>
        </w:rPr>
        <w:t>, dugoročno smanjili troškovi održavanja, povećali zdravi unutarnji klimatski uvjeti, povećala sigurnost od požara, i ublažilo energetsko siromaštvo.</w:t>
      </w:r>
    </w:p>
    <w:p w:rsidR="00F524EA" w:rsidRP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24EA" w:rsidRDefault="00F52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osiguranje načela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nenanošenja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FFC">
        <w:rPr>
          <w:rFonts w:ascii="Times New Roman" w:hAnsi="Times New Roman" w:cs="Times New Roman"/>
          <w:sz w:val="24"/>
          <w:szCs w:val="24"/>
        </w:rPr>
        <w:t>bitne štete:</w:t>
      </w:r>
    </w:p>
    <w:tbl>
      <w:tblPr>
        <w:tblW w:w="9072" w:type="dxa"/>
        <w:tblInd w:w="-10" w:type="dxa"/>
        <w:tblBorders>
          <w:top w:val="single" w:sz="8" w:space="0" w:color="A8D08D"/>
          <w:left w:val="single" w:sz="8" w:space="0" w:color="A8D08D"/>
          <w:bottom w:val="single" w:sz="8" w:space="0" w:color="A8D08D"/>
          <w:right w:val="single" w:sz="8" w:space="0" w:color="A8D08D"/>
          <w:insideH w:val="single" w:sz="8" w:space="0" w:color="A8D08D"/>
          <w:insideV w:val="single" w:sz="8" w:space="0" w:color="A8D08D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F524EA" w:rsidRPr="00F524EA" w:rsidTr="00A44071">
        <w:trPr>
          <w:trHeight w:val="832"/>
        </w:trPr>
        <w:tc>
          <w:tcPr>
            <w:tcW w:w="2835" w:type="dxa"/>
            <w:shd w:val="clear" w:color="000000" w:fill="4DB17B"/>
            <w:vAlign w:val="center"/>
            <w:hideMark/>
          </w:tcPr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Okolišni cilj</w:t>
            </w:r>
          </w:p>
        </w:tc>
        <w:tc>
          <w:tcPr>
            <w:tcW w:w="6237" w:type="dxa"/>
            <w:shd w:val="clear" w:color="000000" w:fill="4DB17B"/>
            <w:vAlign w:val="center"/>
            <w:hideMark/>
          </w:tcPr>
          <w:p w:rsidR="00F524EA" w:rsidRPr="00F524EA" w:rsidRDefault="00F524EA" w:rsidP="00F524EA">
            <w:pPr>
              <w:spacing w:after="0" w:line="27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 xml:space="preserve">  Usklađenost investicije s DNSH načelom</w:t>
            </w:r>
          </w:p>
        </w:tc>
      </w:tr>
      <w:tr w:rsidR="00F524EA" w:rsidRPr="00F524EA" w:rsidTr="00A44071">
        <w:trPr>
          <w:trHeight w:val="973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I.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Ublažavanje klimatskih promjena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82215A" w:rsidRDefault="0082215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221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Obnovom zgrada postići će se prosječna ušteda primarne energije (</w:t>
            </w:r>
            <w:proofErr w:type="spellStart"/>
            <w:r w:rsidRPr="008221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Eprim</w:t>
            </w:r>
            <w:proofErr w:type="spellEnd"/>
            <w:r w:rsidRPr="008221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) od najmanje 30%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</w:t>
            </w:r>
            <w:r w:rsidRPr="000B1369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hr-HR"/>
              </w:rPr>
              <w:t>(</w:t>
            </w:r>
            <w:r w:rsidR="00F31D3D" w:rsidRPr="000B1369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hr-HR"/>
              </w:rPr>
              <w:t>na razini komponente NPOO</w:t>
            </w:r>
            <w:r w:rsidRPr="000B1369"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hr-HR"/>
              </w:rPr>
              <w:t>)</w:t>
            </w:r>
            <w:bookmarkStart w:id="0" w:name="_GoBack"/>
            <w:bookmarkEnd w:id="0"/>
            <w:r w:rsidRPr="008221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u odnosu na stanje prije obnove i smanjenje emisija stakleničkih plinova.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Zgrade koje će se obnoviti nisu namijenjene vađenju, skladištenju, transportu ili proizvodnji fosilnih goriva.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Financiranje ugradnje kotlova i sustava grijanja na prirodni plin će biti u skladu s člankom 7. stavkom 2. Uredbe (EU) 2017/1369 o okviru za označivanje energetske učinkovitosti (1), a ugrađuju se u zgrade koje su uključene u širi program energetske obnove zgrada, u skladu s Dugoročnom strategijom obnove nacionalnog fonda zgrada do 2050., u skladu s Direktivom o energetskim svojstvima zgrada, i dovode do znatnog poboljšanja energetske učinkovitosti. 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U slučaju zamjene postojećih neučinkovitih sustava grijanja i kotlova (npr. na bazi ugljena ili loživog ulja ili standardnih postojećih plinskih kotlova/ bojlera) s visokoučinkovitim kondenzacijskim kotlovima na plin biti će zadovoljen uvjet da zamjena dovodi do znatnog smanjenja emisija stakleničkih plinova, i znatnog unapređenja okoliša (osobito zbog smanjenja onečišćenja) i javnog zdravlja, posebno na područjima na kojima su EU-ovi pragovi za kvalitetu zraka utvrđeni Direktivom 2008/50/EU premašeni ili bi mogli biti premašeni, npr. pri zamjeni sustava grijanja i kotlova na bazi ugljena ili loživog ulja, obzirom da su kondenzacijski bojleri barem 30% energetski učinkovitiji te generiraju 30% manje emisija od postojećih neučinkovitih sustava grijanja i kotlova koji će biti zamijenjeni u sklopu obnove. Potpora takvim bojlerima neće predstavljati više od 20% investicije.</w:t>
            </w:r>
          </w:p>
        </w:tc>
      </w:tr>
      <w:tr w:rsidR="00F524EA" w:rsidRPr="00F524EA" w:rsidTr="00A44071">
        <w:trPr>
          <w:trHeight w:hRule="exact" w:val="1438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II.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Prilagođavanje klimatskim promjenama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Klimatski rizici koji bi mogli biti relevantni za svako ulaganje u okviru ove mjere identificirani su u nacionalnoj Strategiji prilagodbe klimatskim promjenama u Republici Hrvatskoj za razdoblje 2040. godine s pogledom na 2070. godinu.</w:t>
            </w:r>
          </w:p>
          <w:p w:rsidR="00F524EA" w:rsidRPr="00F524EA" w:rsidRDefault="00F524EA" w:rsidP="00F52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524EA" w:rsidRPr="00F524EA" w:rsidTr="00A44071">
        <w:trPr>
          <w:trHeight w:hRule="exact" w:val="3825"/>
        </w:trPr>
        <w:tc>
          <w:tcPr>
            <w:tcW w:w="2835" w:type="dxa"/>
            <w:shd w:val="clear" w:color="000000" w:fill="FFFFFF"/>
            <w:vAlign w:val="center"/>
          </w:tcPr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III.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Održiva uporaba i zaštita voda i morskih resursa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F524EA" w:rsidRPr="00F524EA" w:rsidRDefault="00F524EA" w:rsidP="00F524E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Novi uređaji za vodu koji se ugrađuju u javne zgrade moraju biti u skladu s utvrđenim razinama uštede vode s načelima DNSH.</w:t>
            </w:r>
          </w:p>
          <w:p w:rsidR="00F524EA" w:rsidRPr="00F524EA" w:rsidRDefault="00F524EA" w:rsidP="00F524E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 kontekstu uštede vode za javne zgrade, moraju se ugraditi uređaji za vodu koji su u skladu sa: </w:t>
            </w:r>
          </w:p>
          <w:p w:rsidR="00F524EA" w:rsidRPr="00F524EA" w:rsidRDefault="00F524EA" w:rsidP="00F524E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slavine za umivaonike i kuhinjske slavine imaju maksimalan protok vode od 6 litara / min; </w:t>
            </w:r>
          </w:p>
          <w:p w:rsidR="00F524EA" w:rsidRPr="00F524EA" w:rsidRDefault="00F524EA" w:rsidP="00F524E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tuševi imaju maksimalni protok vode od 8 litara / min; </w:t>
            </w:r>
          </w:p>
          <w:p w:rsidR="00F524EA" w:rsidRPr="00F524EA" w:rsidRDefault="00F524EA" w:rsidP="00F524E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WC-i, uključujući apartmane, posude i cisterne, imaju puni volumen ispiranja od najviše 6 litara i maksimalni prosječni volumen ispiranja od 3,5 litara; </w:t>
            </w:r>
          </w:p>
          <w:p w:rsidR="00F524EA" w:rsidRPr="00F524EA" w:rsidRDefault="00F524EA" w:rsidP="00F524E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pisoari koriste najviše 2 litre / zdjelu / sat, pisoari za ispiranje imaju maksimalni puni volumen ispiranja od 1 litre.</w:t>
            </w:r>
          </w:p>
        </w:tc>
      </w:tr>
      <w:tr w:rsidR="00F524EA" w:rsidRPr="00F524EA" w:rsidTr="00A44071">
        <w:trPr>
          <w:trHeight w:hRule="exact" w:val="3964"/>
        </w:trPr>
        <w:tc>
          <w:tcPr>
            <w:tcW w:w="2835" w:type="dxa"/>
            <w:shd w:val="clear" w:color="000000" w:fill="FFFFFF"/>
            <w:vAlign w:val="center"/>
          </w:tcPr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IV.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Kružno gospodarstvo, uključujući prevenciju otpada i recikliranje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Gospodarski subjekti koji provode obnovu ograničavaju stvaranje otpada u procesima koji se odnose na izgradnju i rušenje u skladu s EU Protokolom o gospodarenju otpadom od gradnje i rušenja i uzimajući u obzir najbolje dostupne tehnike i korištenje selektivnog rušenja kako bi se omogućilo uklanjanje i sigurno rukovanje opasnih tvari te olakšavaju ponovnu upotrebu i visokokvalitetnu reciklažu selektivnim uklanjanjem materijala, koristeći dostupne sustave za sortiranje građevinskog otpada i otpada od rušenja. Građevinski projekti i građevinske tehnike podržavaju kružnost i posebno demonstriraju, pozivajući se na ISO 20887 ili drugi standard za procjenu rastavljivosti ili prilagodljivosti zgrada, kako su dizajnirani da budu učinkovitiji u pogledu resursa, prilagodljivi, fleksibilni i rastavljivi kako bi omogućili ponovnu upotrebu i recikliranje.</w:t>
            </w:r>
          </w:p>
          <w:p w:rsidR="00F524EA" w:rsidRPr="00F524EA" w:rsidRDefault="00F524EA" w:rsidP="00F52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524EA" w:rsidRPr="00F524EA" w:rsidTr="00A44071">
        <w:trPr>
          <w:trHeight w:hRule="exact" w:val="8100"/>
        </w:trPr>
        <w:tc>
          <w:tcPr>
            <w:tcW w:w="2835" w:type="dxa"/>
            <w:shd w:val="clear" w:color="000000" w:fill="FFFFFF"/>
            <w:vAlign w:val="center"/>
          </w:tcPr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V.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Prevencija onečišćenja i kontrola zraka, vode ili tla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Od operatora koji provode obnovu morat će se osigurati da građevinski dijelovi i materijali korišteni u obnovi zgrade ne sadrže azbest niti tvari koje izazivaju veliku zabrinutost, kako je utvrđeno na temelju popisa tvari za koje je potrebno odobrenje iz Priloga XIV. Uredbe (EZ) br. 1907/2006.</w:t>
            </w:r>
          </w:p>
          <w:p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Od operatora koji provode obnovu morat će se osigurati da građevinski dijelovi i materijali korišteni u zgradi, koji mogu doći u kontakt sa stanarima, emitiraju manje od 0,06 mg formaldehida po m</w:t>
            </w:r>
            <w:r w:rsidRPr="00F524EA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F524EA">
              <w:rPr>
                <w:rFonts w:ascii="Times New Roman" w:eastAsia="Times New Roman" w:hAnsi="Times New Roman" w:cs="Times New Roman"/>
              </w:rPr>
              <w:t xml:space="preserve"> materijala ili komponente i manje od 0,001 mg kategorija 1A i 1B kancerogenih hlapljivih organskih spojeva po m</w:t>
            </w:r>
            <w:r w:rsidRPr="00F524EA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F524EA">
              <w:rPr>
                <w:rFonts w:ascii="Times New Roman" w:eastAsia="Times New Roman" w:hAnsi="Times New Roman" w:cs="Times New Roman"/>
              </w:rPr>
              <w:t xml:space="preserve"> materijala ili komponente, nakon ispitivanja u skladu s CEN / TS 16516 i ISO 16000-3 ili drugim usporedivim standardiziranim uvjetima ispitivanja i metodom određivanja.</w:t>
            </w:r>
          </w:p>
          <w:p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Poduzet će se mjere za smanjenje emisije buke, prašine i onečišćujućih tvari tijekom građevinskih radova, sukladno Zakonu o gradnji članku 133. Uređenje gradilišta koji zahtijeva da se na gradilištu predvide i provode mjere zaštite na radu te ostale mjere za zaštitu života i zdravlja ljudi u skladu s posebnim propisima, te kojima se onečišćenje zraka, tla i podzemnih voda te buka svode na najmanju mjeru. Tako će se prilikom obnove zgrade radovi izvoditi samo u dnevnom razdoblju, svi rastresiti materijali će biti sklonjeni (prekrivanjem ili po potrebi vlaženjem) kako bi se spriječilo rasipanje tijekom kiše i vjetra, a sva uklanjanja i demontaže građevnih elemenata i materijala vršit će se tehnikama koje sprečavaju širenje prašine i štetnih tvari na susjedne površine, te će se kada je potrebno koristiti zaštitne ograde.</w:t>
            </w:r>
          </w:p>
        </w:tc>
      </w:tr>
      <w:tr w:rsidR="00F524EA" w:rsidRPr="00F524EA" w:rsidTr="00A44071">
        <w:trPr>
          <w:trHeight w:hRule="exact" w:val="2417"/>
        </w:trPr>
        <w:tc>
          <w:tcPr>
            <w:tcW w:w="2835" w:type="dxa"/>
            <w:shd w:val="clear" w:color="000000" w:fill="FFFFFF"/>
            <w:vAlign w:val="center"/>
          </w:tcPr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VI.</w:t>
            </w:r>
          </w:p>
          <w:p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Zaštita i obnova biološke raznolikosti i ekosustava</w:t>
            </w:r>
          </w:p>
        </w:tc>
        <w:tc>
          <w:tcPr>
            <w:tcW w:w="6237" w:type="dxa"/>
            <w:tcBorders>
              <w:bottom w:val="single" w:sz="8" w:space="0" w:color="A8D08D"/>
            </w:tcBorders>
            <w:shd w:val="clear" w:color="000000" w:fill="FFFFFF"/>
            <w:vAlign w:val="center"/>
          </w:tcPr>
          <w:p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Aktivnosti obnove zgrada imaju beznačajno predvidljivi utjecaj na ovaj okolišni cilj, uzimajući u obzir izravne i primarne neizravne učinke tijekom životnog ciklusa. Većina zgrada koje će se obnoviti kroz program obnove neće se nalaziti u ili u blizini područja osjetljivih na biološku raznolikost (uključujući mrežu zaštićenih područja Natura 2000, područja svjetske baštine UNESCO-a i ključna područja biološke raznolikosti, kao i druga zaštićena područja) jer je riječ o postojećim zgradama u izgrađenom području.</w:t>
            </w:r>
          </w:p>
        </w:tc>
      </w:tr>
    </w:tbl>
    <w:p w:rsidR="00F524EA" w:rsidRDefault="00F524EA"/>
    <w:sectPr w:rsidR="00F5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31097"/>
    <w:multiLevelType w:val="hybridMultilevel"/>
    <w:tmpl w:val="330E275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EA"/>
    <w:rsid w:val="000B1369"/>
    <w:rsid w:val="00351910"/>
    <w:rsid w:val="00582FFC"/>
    <w:rsid w:val="0082215A"/>
    <w:rsid w:val="009061A2"/>
    <w:rsid w:val="00F31D3D"/>
    <w:rsid w:val="00F5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18C79-1D54-4F93-8414-B98F9013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Pauković</dc:creator>
  <cp:keywords/>
  <dc:description/>
  <cp:lastModifiedBy>Matija Pauković</cp:lastModifiedBy>
  <cp:revision>6</cp:revision>
  <dcterms:created xsi:type="dcterms:W3CDTF">2022-01-24T16:26:00Z</dcterms:created>
  <dcterms:modified xsi:type="dcterms:W3CDTF">2022-02-03T10:19:00Z</dcterms:modified>
</cp:coreProperties>
</file>