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Načelo „ne nanosi bitnu štetu“ (</w:t>
      </w:r>
      <w:proofErr w:type="spellStart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eng</w:t>
      </w:r>
      <w:proofErr w:type="spellEnd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 xml:space="preserve">. „Do no </w:t>
      </w:r>
      <w:proofErr w:type="spellStart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significant</w:t>
      </w:r>
      <w:proofErr w:type="spellEnd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harm</w:t>
      </w:r>
      <w:proofErr w:type="spellEnd"/>
      <w:r w:rsidRPr="00F524EA">
        <w:rPr>
          <w:rFonts w:ascii="Times New Roman" w:eastAsia="Times New Roman" w:hAnsi="Times New Roman" w:cs="Times New Roman"/>
          <w:b/>
          <w:sz w:val="24"/>
          <w:szCs w:val="24"/>
        </w:rPr>
        <w:t>“) okolišnim ciljevima</w:t>
      </w:r>
    </w:p>
    <w:p w:rsidR="00F524EA" w:rsidRDefault="00F524EA" w:rsidP="00F524EA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Ulaganje u cjelovitu obnovu zgrada treba biti usklađeno s načelom </w:t>
      </w:r>
      <w:proofErr w:type="spellStart"/>
      <w:r w:rsidRPr="00F524EA">
        <w:rPr>
          <w:rFonts w:ascii="Times New Roman" w:eastAsia="Times New Roman" w:hAnsi="Times New Roman" w:cs="Times New Roman"/>
          <w:sz w:val="24"/>
          <w:szCs w:val="24"/>
        </w:rPr>
        <w:t>nenanošenja</w:t>
      </w:r>
      <w:proofErr w:type="spellEnd"/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bitne štete (Do no </w:t>
      </w:r>
      <w:proofErr w:type="spellStart"/>
      <w:r w:rsidRPr="00F524EA">
        <w:rPr>
          <w:rFonts w:ascii="Times New Roman" w:eastAsia="Times New Roman" w:hAnsi="Times New Roman" w:cs="Times New Roman"/>
          <w:sz w:val="24"/>
          <w:szCs w:val="24"/>
        </w:rPr>
        <w:t>significant</w:t>
      </w:r>
      <w:proofErr w:type="spellEnd"/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4EA">
        <w:rPr>
          <w:rFonts w:ascii="Times New Roman" w:eastAsia="Times New Roman" w:hAnsi="Times New Roman" w:cs="Times New Roman"/>
          <w:sz w:val="24"/>
          <w:szCs w:val="24"/>
        </w:rPr>
        <w:t>harm</w:t>
      </w:r>
      <w:proofErr w:type="spellEnd"/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- DNSH), odnosno ne smije nanijeti bitnu štetu okolišnim ciljevima u smislu članka 17. Uredbe (EU) 2020/852 Europskog parlamenta i Vijeća od 18. lipnja 2020. godine o uspostavi okvira za olakšavanje održivih ulaganja i izmjeni Uredbe (EU) 2019/2088, što je u skladu s Uredbom o uspostavi Mehanizma za oporavak i otpornost. </w:t>
      </w:r>
    </w:p>
    <w:p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U okviru NPOO-a u sklopu investicije C6.1. R1-I2 Obnova zgrada oštećenih u potresu s energetskom obnovom osigurana su sredstva za sveobuhvatnu obnovu </w:t>
      </w:r>
      <w:proofErr w:type="spellStart"/>
      <w:r w:rsidRPr="00F524EA">
        <w:rPr>
          <w:rFonts w:ascii="Times New Roman" w:eastAsia="Times New Roman" w:hAnsi="Times New Roman" w:cs="Times New Roman"/>
          <w:sz w:val="24"/>
          <w:szCs w:val="24"/>
        </w:rPr>
        <w:t>višestambenih</w:t>
      </w:r>
      <w:proofErr w:type="spellEnd"/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zgrada i zgrada javnog sektora oštećenih u potresu kako bi se sanirala nastala oštećenja te povećala mehanička otpornost i stabilnost zgrade, povećala energetska učinkovitost i korištenje obnovljivih izvora energije, smanjila emisija CO</w:t>
      </w:r>
      <w:r w:rsidRPr="00F524E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524EA">
        <w:rPr>
          <w:rFonts w:ascii="Times New Roman" w:eastAsia="Times New Roman" w:hAnsi="Times New Roman" w:cs="Times New Roman"/>
          <w:sz w:val="24"/>
          <w:szCs w:val="24"/>
        </w:rPr>
        <w:t>, dugoročno smanjili troškovi održavanja, povećali zdravi unutarnji klimatski uvjeti, povećala sigurnost od požara, i ublažilo energetsko siromaštvo.</w:t>
      </w:r>
    </w:p>
    <w:p w:rsidR="00F524EA" w:rsidRPr="00F524EA" w:rsidRDefault="00F524EA" w:rsidP="00F52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4EA" w:rsidRDefault="00F524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 za osiguranje načela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nenanošenja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FFC">
        <w:rPr>
          <w:rFonts w:ascii="Times New Roman" w:hAnsi="Times New Roman" w:cs="Times New Roman"/>
          <w:sz w:val="24"/>
          <w:szCs w:val="24"/>
        </w:rPr>
        <w:t>bitne štete:</w:t>
      </w:r>
    </w:p>
    <w:tbl>
      <w:tblPr>
        <w:tblW w:w="9072" w:type="dxa"/>
        <w:tblInd w:w="-10" w:type="dxa"/>
        <w:tblBorders>
          <w:top w:val="single" w:sz="8" w:space="0" w:color="A8D08D"/>
          <w:left w:val="single" w:sz="8" w:space="0" w:color="A8D08D"/>
          <w:bottom w:val="single" w:sz="8" w:space="0" w:color="A8D08D"/>
          <w:right w:val="single" w:sz="8" w:space="0" w:color="A8D08D"/>
          <w:insideH w:val="single" w:sz="8" w:space="0" w:color="A8D08D"/>
          <w:insideV w:val="single" w:sz="8" w:space="0" w:color="A8D08D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F524EA" w:rsidRPr="00F524EA" w:rsidTr="00A44071">
        <w:trPr>
          <w:trHeight w:val="832"/>
        </w:trPr>
        <w:tc>
          <w:tcPr>
            <w:tcW w:w="2835" w:type="dxa"/>
            <w:shd w:val="clear" w:color="000000" w:fill="4DB17B"/>
            <w:vAlign w:val="center"/>
            <w:hideMark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Okolišni cilj</w:t>
            </w:r>
          </w:p>
        </w:tc>
        <w:tc>
          <w:tcPr>
            <w:tcW w:w="6237" w:type="dxa"/>
            <w:shd w:val="clear" w:color="000000" w:fill="4DB17B"/>
            <w:vAlign w:val="center"/>
            <w:hideMark/>
          </w:tcPr>
          <w:p w:rsidR="00F524EA" w:rsidRPr="00F524EA" w:rsidRDefault="00F524EA" w:rsidP="00F524EA">
            <w:pPr>
              <w:spacing w:after="0" w:line="276" w:lineRule="auto"/>
              <w:ind w:left="-110"/>
              <w:jc w:val="both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 xml:space="preserve">  Usklađenost investicije s DNSH načelom</w:t>
            </w:r>
          </w:p>
        </w:tc>
      </w:tr>
      <w:tr w:rsidR="00F524EA" w:rsidRPr="00F524EA" w:rsidTr="00A44071">
        <w:trPr>
          <w:trHeight w:val="973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Ublažavanje klimatskih promjena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82215A" w:rsidRDefault="0082215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Obnovom zgrada postići će se prosječna ušteda primarne energije (</w:t>
            </w:r>
            <w:proofErr w:type="spellStart"/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Eprim</w:t>
            </w:r>
            <w:proofErr w:type="spellEnd"/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) od najmanje 30%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</w:t>
            </w:r>
            <w:r w:rsidRPr="000B1369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hr-HR"/>
              </w:rPr>
              <w:t>(</w:t>
            </w:r>
            <w:r w:rsidR="00F31D3D" w:rsidRPr="000B1369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hr-HR"/>
              </w:rPr>
              <w:t>na razini komponente NPOO</w:t>
            </w:r>
            <w:r w:rsidRPr="000B1369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hr-HR"/>
              </w:rPr>
              <w:t>)</w:t>
            </w:r>
            <w:bookmarkStart w:id="0" w:name="_GoBack"/>
            <w:bookmarkEnd w:id="0"/>
            <w:r w:rsidRPr="0082215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u odnosu na stanje prije obnove i smanjenje emisija stakleničkih plinova.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Zgrade koje će se obnoviti nisu namijenjene vađenju, skladištenju, transportu ili proizvodnji fosilnih goriva.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Financiranje ugradnje kotlova i sustava grijanja na prirodni plin će biti u skladu s člankom 7. stavkom 2. Uredbe (EU) 2017/1369 o okviru za označivanje energetske učinkovitosti (1), a ugrađuju se u zgrade koje su uključene u širi program energetske obnove zgrada, u skladu s Dugoročnom strategijom obnove nacionalnog fonda zgrada do 2050., u skladu s Direktivom o energetskim svojstvima zgrada, i dovode do znatnog poboljšanja energetske učinkovitosti. 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U slučaju zamjene postojećih neučinkovitih sustava grijanja i kotlova (npr. na bazi ugljena ili loživog ulja ili standardnih postojećih plinskih kotlova/ bojlera) s visokoučinkovitim kondenzacijskim kotlovima na plin biti će zadovoljen uvjet da zamjena dovodi do znatnog smanjenja emisija stakleničkih plinova, i znatnog unapređenja okoliša (osobito zbog smanjenja onečišćenja) i javnog zdravlja, posebno na područjima na kojima su EU-ovi pragovi za kvalitetu zraka utvrđeni Direktivom 2008/50/EU premašeni ili bi mogli biti premašeni, npr. pri zamjeni sustava grijanja i kotlova na bazi ugljena ili loživog ulja, obzirom da su kondenzacijski bojleri barem 30% energetski učinkovitiji te generiraju 30% manje emisija od postojećih neučinkovitih sustava grijanja i kotlova koji će biti zamijenjeni u sklopu obnove. Potpora takvim bojlerima neće predstavljati više od 20% investicije.</w:t>
            </w:r>
          </w:p>
        </w:tc>
      </w:tr>
      <w:tr w:rsidR="00F524EA" w:rsidRPr="00F524EA" w:rsidTr="00A44071">
        <w:trPr>
          <w:trHeight w:hRule="exact" w:val="1438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II.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Prilagođavanje klimatskim promjenama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Klimatski rizici koji bi mogli biti relevantni za svako ulaganje u okviru ove mjere identificirani su u nacionalnoj Strategiji prilagodbe klimatskim promjenama u Republici Hrvatskoj za razdoblje 2040. godine s pogledom na 2070. godinu.</w:t>
            </w:r>
          </w:p>
          <w:p w:rsidR="00F524EA" w:rsidRPr="00F524EA" w:rsidRDefault="00F524EA" w:rsidP="00F52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524EA" w:rsidRPr="00F524EA" w:rsidTr="00A44071">
        <w:trPr>
          <w:trHeight w:hRule="exact" w:val="3825"/>
        </w:trPr>
        <w:tc>
          <w:tcPr>
            <w:tcW w:w="2835" w:type="dxa"/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III.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Održiva uporaba i zaštita voda i morskih resursa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Novi uređaji za vodu koji se ugrađuju u javne zgrade moraju biti u skladu s utvrđenim razinama uštede vode s načelima DNSH.</w:t>
            </w:r>
          </w:p>
          <w:p w:rsidR="00F524EA" w:rsidRPr="00F524EA" w:rsidRDefault="00F524EA" w:rsidP="00F524E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 kontekstu uštede vode za javne zgrade, moraju se ugraditi uređaji za vodu koji su u skladu sa: </w:t>
            </w:r>
          </w:p>
          <w:p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slavine za umivaonike i kuhinjske slavine imaju maksimalan protok vode od 6 litara / min; </w:t>
            </w:r>
          </w:p>
          <w:p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tuševi imaju maksimalni protok vode od 8 litara / min; </w:t>
            </w:r>
          </w:p>
          <w:p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WC-i, uključujući apartmane, posude i cisterne, imaju puni volumen ispiranja od najviše 6 litara i maksimalni prosječni volumen ispiranja od 3,5 litara; </w:t>
            </w:r>
          </w:p>
          <w:p w:rsidR="00F524EA" w:rsidRPr="00F524EA" w:rsidRDefault="00F524EA" w:rsidP="00F524EA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pisoari koriste najviše 2 litre / zdjelu / sat, pisoari za ispiranje imaju maksimalni puni volumen ispiranja od 1 litre.</w:t>
            </w:r>
          </w:p>
        </w:tc>
      </w:tr>
      <w:tr w:rsidR="00F524EA" w:rsidRPr="00F524EA" w:rsidTr="00A44071">
        <w:trPr>
          <w:trHeight w:hRule="exact" w:val="3964"/>
        </w:trPr>
        <w:tc>
          <w:tcPr>
            <w:tcW w:w="2835" w:type="dxa"/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IV.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Kružno gospodarstvo, uključujući prevenciju otpada i recikliranje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Gospodarski subjekti koji provode obnovu ograničavaju stvaranje otpada u procesima koji se odnose na izgradnju i rušenje u skladu s EU Protokolom o gospodarenju otpadom od gradnje i rušenja i uzimajući u obzir najbolje dostupne tehnike i korištenje selektivnog rušenja kako bi se omogućilo uklanjanje i sigurno rukovanje opasnih tvari te olakšavaju ponovnu upotrebu i visokokvalitetnu reciklažu selektivnim uklanjanjem materijala, koristeći dostupne sustave za sortiranje građevinskog otpada i otpada od rušenja. Građevinski projekti i građevinske tehnike podržavaju kružnost i posebno demonstriraju, pozivajući se na ISO 20887 ili drugi standard za procjenu rastavljivosti ili prilagodljivosti zgrada, kako su dizajnirani da budu učinkovitiji u pogledu resursa, prilagodljivi, fleksibilni i rastavljivi kako bi omogućili ponovnu upotrebu i recikliranje.</w:t>
            </w:r>
          </w:p>
          <w:p w:rsidR="00F524EA" w:rsidRPr="00F524EA" w:rsidRDefault="00F524EA" w:rsidP="00F524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F524EA" w:rsidRPr="00F524EA" w:rsidTr="00A44071">
        <w:trPr>
          <w:trHeight w:hRule="exact" w:val="8100"/>
        </w:trPr>
        <w:tc>
          <w:tcPr>
            <w:tcW w:w="2835" w:type="dxa"/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V.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Prevencija onečišćenja i kontrola zraka, vode ili tla</w:t>
            </w:r>
          </w:p>
        </w:tc>
        <w:tc>
          <w:tcPr>
            <w:tcW w:w="6237" w:type="dxa"/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Od operatora koji provode obnovu morat će se osigurati da građevinski dijelovi i materijali korišteni u obnovi zgrade ne sadrže azbest niti tvari koje izazivaju veliku zabrinutost, kako je utvrđeno na temelju popisa tvari za koje je potrebno odobrenje iz Priloga XIV. Uredbe (EZ) br. 1907/2006.</w:t>
            </w:r>
          </w:p>
          <w:p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Od operatora koji provode obnovu morat će se osigurati da građevinski dijelovi i materijali korišteni u zgradi, koji mogu doći u kontakt sa stanarima, emitiraju manje od 0,06 mg formaldehida po m</w:t>
            </w:r>
            <w:r w:rsidRPr="00F524E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F524EA">
              <w:rPr>
                <w:rFonts w:ascii="Times New Roman" w:eastAsia="Times New Roman" w:hAnsi="Times New Roman" w:cs="Times New Roman"/>
              </w:rPr>
              <w:t xml:space="preserve"> materijala ili komponente i manje od 0,001 mg kategorija 1A i 1B kancerogenih hlapljivih organskih spojeva po m</w:t>
            </w:r>
            <w:r w:rsidRPr="00F524EA">
              <w:rPr>
                <w:rFonts w:ascii="Times New Roman" w:eastAsia="Times New Roman" w:hAnsi="Times New Roman" w:cs="Times New Roman"/>
                <w:vertAlign w:val="superscript"/>
              </w:rPr>
              <w:t>3</w:t>
            </w:r>
            <w:r w:rsidRPr="00F524EA">
              <w:rPr>
                <w:rFonts w:ascii="Times New Roman" w:eastAsia="Times New Roman" w:hAnsi="Times New Roman" w:cs="Times New Roman"/>
              </w:rPr>
              <w:t xml:space="preserve"> materijala ili komponente, nakon ispitivanja u skladu s CEN / TS 16516 i ISO 16000-3 ili drugim usporedivim standardiziranim uvjetima ispitivanja i metodom određivanja.</w:t>
            </w:r>
          </w:p>
          <w:p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Poduzet će se mjere za smanjenje emisije buke, prašine i onečišćujućih tvari tijekom građevinskih radova, sukladno Zakonu o gradnji članku 133. Uređenje gradilišta koji zahtijeva da se na gradilištu predvide i provode mjere zaštite na radu te ostale mjere za zaštitu života i zdravlja ljudi u skladu s posebnim propisima, te kojima se onečišćenje zraka, tla i podzemnih voda te buka svode na najmanju mjeru. Tako će se prilikom obnove zgrade radovi izvoditi samo u dnevnom razdoblju, svi rastresiti materijali će biti sklonjeni (prekrivanjem ili po potrebi vlaženjem) kako bi se spriječilo rasipanje tijekom kiše i vjetra, a sva uklanjanja i demontaže građevnih elemenata i materijala vršit će se tehnikama koje sprečavaju širenje prašine i štetnih tvari na susjedne površine, te će se kada je potrebno koristiti zaštitne ograde.</w:t>
            </w:r>
          </w:p>
        </w:tc>
      </w:tr>
      <w:tr w:rsidR="00F524EA" w:rsidRPr="00F524EA" w:rsidTr="00A44071">
        <w:trPr>
          <w:trHeight w:hRule="exact" w:val="2417"/>
        </w:trPr>
        <w:tc>
          <w:tcPr>
            <w:tcW w:w="2835" w:type="dxa"/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VI.</w:t>
            </w:r>
          </w:p>
          <w:p w:rsidR="00F524EA" w:rsidRPr="00F524EA" w:rsidRDefault="00F524EA" w:rsidP="00F524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F524EA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Zaštita i obnova biološke raznolikosti i ekosustava</w:t>
            </w:r>
          </w:p>
        </w:tc>
        <w:tc>
          <w:tcPr>
            <w:tcW w:w="6237" w:type="dxa"/>
            <w:tcBorders>
              <w:bottom w:val="single" w:sz="8" w:space="0" w:color="A8D08D"/>
            </w:tcBorders>
            <w:shd w:val="clear" w:color="000000" w:fill="FFFFFF"/>
            <w:vAlign w:val="center"/>
          </w:tcPr>
          <w:p w:rsidR="00F524EA" w:rsidRPr="00F524EA" w:rsidRDefault="00F524EA" w:rsidP="00F524E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24EA">
              <w:rPr>
                <w:rFonts w:ascii="Times New Roman" w:eastAsia="Times New Roman" w:hAnsi="Times New Roman" w:cs="Times New Roman"/>
              </w:rPr>
              <w:t>Aktivnosti obnove zgrada imaju beznačajno predvidljivi utjecaj na ovaj okolišni cilj, uzimajući u obzir izravne i primarne neizravne učinke tijekom životnog ciklusa. Većina zgrada koje će se obnoviti kroz program obnove neće se nalaziti u ili u blizini područja osjetljivih na biološku raznolikost (uključujući mrežu zaštićenih područja Natura 2000, područja svjetske baštine UNESCO-a i ključna područja biološke raznolikosti, kao i druga zaštićena područja) jer je riječ o postojećim zgradama u izgrađenom području.</w:t>
            </w:r>
          </w:p>
        </w:tc>
      </w:tr>
    </w:tbl>
    <w:p w:rsidR="00F524EA" w:rsidRDefault="00F524EA"/>
    <w:sectPr w:rsidR="00F5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31097"/>
    <w:multiLevelType w:val="hybridMultilevel"/>
    <w:tmpl w:val="330E275E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EA"/>
    <w:rsid w:val="000B1369"/>
    <w:rsid w:val="00351910"/>
    <w:rsid w:val="00582FFC"/>
    <w:rsid w:val="0082215A"/>
    <w:rsid w:val="009061A2"/>
    <w:rsid w:val="00F31D3D"/>
    <w:rsid w:val="00F5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18C79-1D54-4F93-8414-B98F901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Pauković</dc:creator>
  <cp:keywords/>
  <dc:description/>
  <cp:lastModifiedBy>Matija Pauković</cp:lastModifiedBy>
  <cp:revision>6</cp:revision>
  <dcterms:created xsi:type="dcterms:W3CDTF">2022-01-24T16:26:00Z</dcterms:created>
  <dcterms:modified xsi:type="dcterms:W3CDTF">2022-02-03T10:19:00Z</dcterms:modified>
</cp:coreProperties>
</file>